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000000"/>
        </w:rPr>
      </w:pPr>
      <w:r>
        <w:rPr>
          <w:color w:val="000000"/>
        </w:rPr>
      </w:r>
      <w:r/>
    </w:p>
    <w:p>
      <w:pPr>
        <w:rPr>
          <w:color w:val="000000"/>
        </w:rPr>
      </w:pPr>
      <w:r>
        <w:rPr>
          <w:color w:val="000000"/>
        </w:rPr>
      </w:r>
      <w:r/>
    </w:p>
    <w:p>
      <w:pPr>
        <w:rPr>
          <w:rFonts w:ascii="黑体" w:hAnsi="黑体" w:eastAsia="黑体"/>
          <w:b/>
          <w:color w:val="000000"/>
          <w:sz w:val="84"/>
          <w:szCs w:val="84"/>
        </w:rPr>
      </w:pPr>
      <w:r>
        <w:rPr>
          <w:rFonts w:ascii="黑体" w:hAnsi="黑体" w:eastAsia="黑体"/>
          <w:b/>
          <w:color w:val="000000"/>
          <w:sz w:val="84"/>
          <w:szCs w:val="84"/>
        </w:rPr>
      </w:r>
      <w:r/>
    </w:p>
    <w:p>
      <w:pPr>
        <w:jc w:val="center"/>
        <w:rPr>
          <w:rFonts w:ascii="黑体" w:hAnsi="黑体" w:eastAsia="黑体"/>
          <w:b/>
          <w:color w:val="000000"/>
          <w:sz w:val="84"/>
          <w:szCs w:val="84"/>
        </w:rPr>
      </w:pPr>
      <w:r>
        <w:rPr>
          <w:rFonts w:hint="eastAsia" w:ascii="黑体" w:hAnsi="黑体" w:eastAsia="黑体"/>
          <w:b/>
          <w:color w:val="000000"/>
          <w:sz w:val="84"/>
          <w:szCs w:val="84"/>
        </w:rPr>
        <w:t xml:space="preserve">招　标　文　件</w:t>
      </w:r>
      <w:r/>
    </w:p>
    <w:p>
      <w:pPr>
        <w:ind w:firstLine="2249"/>
        <w:jc w:val="left"/>
        <w:spacing w:line="480" w:lineRule="auto"/>
        <w:rPr>
          <w:rFonts w:ascii="Arial" w:hAnsi="Arial" w:cs="Times New Roman"/>
          <w:b/>
          <w:bCs/>
          <w:color w:val="000000"/>
          <w:sz w:val="32"/>
          <w:szCs w:val="24"/>
        </w:rPr>
      </w:pPr>
      <w:r>
        <w:rPr>
          <w:rFonts w:ascii="Arial" w:hAnsi="Arial" w:cs="Times New Roman"/>
          <w:b/>
          <w:bCs/>
          <w:color w:val="000000"/>
          <w:sz w:val="32"/>
          <w:szCs w:val="24"/>
        </w:rPr>
      </w:r>
      <w:r/>
    </w:p>
    <w:p>
      <w:pPr>
        <w:ind w:firstLine="2249"/>
        <w:jc w:val="left"/>
        <w:spacing w:line="480" w:lineRule="auto"/>
        <w:rPr>
          <w:rFonts w:ascii="Arial" w:hAnsi="Arial" w:cs="Times New Roman"/>
          <w:b/>
          <w:bCs/>
          <w:color w:val="000000"/>
          <w:sz w:val="32"/>
          <w:szCs w:val="24"/>
        </w:rPr>
      </w:pPr>
      <w:r>
        <w:rPr>
          <w:rFonts w:ascii="Arial" w:hAnsi="Arial" w:cs="Times New Roman"/>
          <w:b/>
          <w:bCs/>
          <w:color w:val="000000"/>
          <w:sz w:val="32"/>
          <w:szCs w:val="24"/>
        </w:rPr>
      </w:r>
      <w:r/>
    </w:p>
    <w:p>
      <w:pPr>
        <w:jc w:val="left"/>
        <w:spacing w:line="480" w:lineRule="auto"/>
        <w:rPr>
          <w:rFonts w:ascii="Arial" w:hAnsi="Arial" w:cs="Times New Roman"/>
          <w:b/>
          <w:bCs/>
          <w:color w:val="000000"/>
          <w:sz w:val="32"/>
          <w:szCs w:val="24"/>
        </w:rPr>
      </w:pPr>
      <w:r>
        <w:rPr>
          <w:rFonts w:ascii="Arial" w:hAnsi="Arial" w:cs="Times New Roman"/>
          <w:b/>
          <w:bCs/>
          <w:color w:val="000000"/>
          <w:sz w:val="32"/>
          <w:szCs w:val="24"/>
        </w:rPr>
      </w:r>
      <w:r/>
    </w:p>
    <w:p>
      <w:pPr>
        <w:jc w:val="left"/>
        <w:spacing w:line="480" w:lineRule="auto"/>
        <w:rPr>
          <w:rFonts w:ascii="Arial" w:hAnsi="Arial" w:cs="Times New Roman"/>
          <w:b/>
          <w:bCs/>
          <w:color w:val="000000"/>
          <w:sz w:val="32"/>
          <w:szCs w:val="24"/>
        </w:rPr>
      </w:pPr>
      <w:r>
        <w:rPr>
          <w:rFonts w:ascii="Arial" w:hAnsi="Arial" w:cs="Times New Roman"/>
          <w:b/>
          <w:bCs/>
          <w:color w:val="000000"/>
          <w:sz w:val="32"/>
          <w:szCs w:val="24"/>
        </w:rPr>
      </w:r>
      <w:r/>
    </w:p>
    <w:p>
      <w:pPr>
        <w:ind w:firstLine="2249"/>
        <w:jc w:val="left"/>
        <w:spacing w:line="480" w:lineRule="auto"/>
        <w:rPr>
          <w:rFonts w:ascii="Arial" w:hAnsi="Arial" w:cs="Times New Roman"/>
          <w:b/>
          <w:bCs/>
          <w:color w:val="000000"/>
          <w:sz w:val="32"/>
          <w:szCs w:val="24"/>
        </w:rPr>
      </w:pPr>
      <w:r>
        <w:rPr>
          <w:rFonts w:ascii="Arial" w:hAnsi="Arial" w:cs="Times New Roman"/>
          <w:b/>
          <w:bCs/>
          <w:color w:val="000000"/>
          <w:sz w:val="32"/>
          <w:szCs w:val="24"/>
        </w:rPr>
      </w:r>
      <w:r/>
    </w:p>
    <w:p>
      <w:pPr>
        <w:ind w:firstLine="1285"/>
        <w:spacing w:line="480" w:lineRule="auto"/>
        <w:rPr>
          <w:rFonts w:hint="eastAsia" w:ascii="黑体" w:hAnsi="Arial" w:eastAsia="宋体" w:cs="Times New Roman"/>
          <w:b/>
          <w:color w:val="000000"/>
          <w:sz w:val="44"/>
          <w:szCs w:val="21"/>
          <w:lang w:eastAsia="zh-CN"/>
        </w:rPr>
      </w:pPr>
      <w:r>
        <w:rPr>
          <w:rFonts w:hint="eastAsia" w:ascii="Arial" w:hAnsi="Arial" w:cs="Times New Roman"/>
          <w:b/>
          <w:bCs/>
          <w:color w:val="000000"/>
          <w:sz w:val="32"/>
          <w:szCs w:val="24"/>
        </w:rPr>
        <w:t xml:space="preserve">项目名称：</w:t>
      </w:r>
      <w:r>
        <w:rPr>
          <w:rFonts w:hint="eastAsia" w:ascii="Arial" w:hAnsi="Arial" w:cs="Times New Roman"/>
          <w:b/>
          <w:bCs/>
          <w:color w:val="000000"/>
          <w:sz w:val="32"/>
          <w:szCs w:val="24"/>
          <w:lang w:eastAsia="zh-CN"/>
        </w:rPr>
        <w:t xml:space="preserve">连云港市东海生态环境局智慧化水环境监测能力建设项目</w:t>
      </w:r>
      <w:r/>
    </w:p>
    <w:p>
      <w:pPr>
        <w:ind w:firstLine="1285"/>
        <w:spacing w:line="480" w:lineRule="auto"/>
        <w:rPr>
          <w:rFonts w:hint="eastAsia" w:ascii="黑体" w:hAnsi="Arial" w:eastAsia="宋体" w:cs="Times New Roman"/>
          <w:b/>
          <w:color w:val="000000"/>
          <w:sz w:val="44"/>
          <w:szCs w:val="21"/>
          <w:highlight w:val="none"/>
          <w:lang w:eastAsia="zh-CN"/>
        </w:rPr>
      </w:pPr>
      <w:r>
        <w:rPr>
          <w:rFonts w:hint="eastAsia" w:ascii="Arial" w:hAnsi="Arial" w:cs="Times New Roman"/>
          <w:b/>
          <w:bCs/>
          <w:color w:val="000000"/>
          <w:sz w:val="32"/>
          <w:szCs w:val="24"/>
        </w:rPr>
        <w:t xml:space="preserve">项目编号：</w:t>
      </w:r>
      <w:r>
        <w:rPr>
          <w:rFonts w:hint="eastAsia" w:ascii="宋体" w:hAnsi="宋体" w:eastAsia="宋体" w:cs="宋体"/>
          <w:b/>
          <w:bCs/>
          <w:color w:val="000000"/>
          <w:sz w:val="32"/>
          <w:szCs w:val="24"/>
          <w:lang w:val="en-US" w:eastAsia="zh-CN"/>
        </w:rPr>
        <w:t xml:space="preserve">JSZC-320722-ZYGJ-G2026-0006</w:t>
      </w:r>
      <w:r/>
    </w:p>
    <w:p>
      <w:pPr>
        <w:jc w:val="left"/>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before="120" w:after="120" w:line="360" w:lineRule="auto"/>
        <w:rPr>
          <w:rFonts w:ascii="Arial" w:hAnsi="Arial" w:cs="Times New Roman"/>
          <w:b/>
          <w:bCs/>
          <w:color w:val="000000"/>
          <w:sz w:val="32"/>
          <w:szCs w:val="24"/>
        </w:rPr>
      </w:pPr>
      <w:r>
        <w:rPr>
          <w:rFonts w:hint="eastAsia" w:ascii="Arial" w:hAnsi="Arial" w:cs="Times New Roman"/>
          <w:b/>
          <w:bCs/>
          <w:color w:val="000000"/>
          <w:sz w:val="32"/>
          <w:szCs w:val="24"/>
        </w:rPr>
        <w:t xml:space="preserve">采购人：连云港市东海生态环境局</w:t>
      </w:r>
      <w:r/>
    </w:p>
    <w:p>
      <w:pPr>
        <w:jc w:val="center"/>
        <w:spacing w:before="120" w:after="120" w:line="360" w:lineRule="auto"/>
        <w:rPr>
          <w:rFonts w:ascii="Arial" w:hAnsi="Arial" w:cs="Times New Roman"/>
          <w:b/>
          <w:bCs/>
          <w:color w:val="000000"/>
          <w:sz w:val="32"/>
          <w:szCs w:val="24"/>
        </w:rPr>
      </w:pPr>
      <w:r>
        <w:rPr>
          <w:rFonts w:hint="eastAsia" w:ascii="Arial" w:hAnsi="Arial" w:cs="Times New Roman"/>
          <w:b/>
          <w:bCs/>
          <w:color w:val="000000"/>
          <w:sz w:val="32"/>
          <w:szCs w:val="24"/>
        </w:rPr>
        <w:t xml:space="preserve">采购代理机构：中瀛国际工程管理有限公司</w:t>
      </w:r>
      <w:r/>
    </w:p>
    <w:p>
      <w:pPr>
        <w:jc w:val="center"/>
        <w:spacing w:before="120" w:after="120" w:line="360" w:lineRule="auto"/>
        <w:rPr>
          <w:rFonts w:ascii="宋体" w:hAnsi="宋体"/>
          <w:color w:val="000000"/>
          <w:sz w:val="24"/>
        </w:rPr>
      </w:pPr>
      <w:r>
        <w:rPr>
          <w:rFonts w:hint="eastAsia" w:ascii="Arial" w:hAnsi="Arial" w:cs="Times New Roman"/>
          <w:b/>
          <w:bCs/>
          <w:color w:val="000000"/>
          <w:sz w:val="32"/>
          <w:szCs w:val="24"/>
        </w:rPr>
        <w:t xml:space="preserve">202</w:t>
      </w:r>
      <w:r>
        <w:rPr>
          <w:rFonts w:hint="eastAsia" w:ascii="Arial" w:hAnsi="Arial" w:cs="Times New Roman"/>
          <w:b/>
          <w:bCs/>
          <w:color w:val="000000"/>
          <w:sz w:val="32"/>
          <w:szCs w:val="24"/>
          <w:lang w:val="en-US" w:eastAsia="zh-CN"/>
        </w:rPr>
        <w:t xml:space="preserve">6</w:t>
      </w:r>
      <w:r>
        <w:rPr>
          <w:rFonts w:hint="eastAsia" w:ascii="Arial" w:hAnsi="Arial" w:cs="Times New Roman"/>
          <w:b/>
          <w:bCs/>
          <w:color w:val="000000"/>
          <w:sz w:val="32"/>
          <w:szCs w:val="24"/>
        </w:rPr>
        <w:t xml:space="preserve">年</w:t>
      </w:r>
      <w:r>
        <w:rPr>
          <w:rFonts w:hint="eastAsia" w:ascii="Arial" w:hAnsi="Arial" w:cs="Times New Roman"/>
          <w:b/>
          <w:bCs/>
          <w:color w:val="000000"/>
          <w:sz w:val="32"/>
          <w:szCs w:val="24"/>
          <w:lang w:val="en-US" w:eastAsia="zh-CN"/>
        </w:rPr>
        <w:t xml:space="preserve">7</w:t>
      </w:r>
      <w:r>
        <w:rPr>
          <w:rFonts w:hint="eastAsia" w:ascii="Arial" w:hAnsi="Arial" w:cs="Times New Roman"/>
          <w:b/>
          <w:bCs/>
          <w:color w:val="000000"/>
          <w:sz w:val="32"/>
          <w:szCs w:val="24"/>
        </w:rPr>
        <w:t xml:space="preserve">月</w:t>
      </w:r>
      <w:r>
        <w:rPr>
          <w:color w:val="000000"/>
        </w:rPr>
        <w:br w:type="page" w:clear="all"/>
      </w:r>
      <w:r>
        <w:rPr>
          <w:rFonts w:ascii="宋体" w:hAnsi="宋体"/>
          <w:color w:val="000000"/>
          <w:sz w:val="24"/>
        </w:rPr>
        <w:fldChar w:fldCharType="begin"/>
      </w:r>
      <w:r>
        <w:rPr>
          <w:rFonts w:ascii="宋体" w:hAnsi="宋体"/>
          <w:color w:val="000000"/>
          <w:sz w:val="24"/>
        </w:rPr>
        <w:instrText xml:space="preserve"> TOC \o "1-1" \u </w:instrText>
      </w:r>
      <w:r>
        <w:rPr>
          <w:rFonts w:ascii="宋体" w:hAnsi="宋体"/>
          <w:color w:val="000000"/>
          <w:sz w:val="24"/>
        </w:rPr>
        <w:fldChar w:fldCharType="separate"/>
      </w:r>
      <w:r/>
    </w:p>
    <w:p>
      <w:pPr>
        <w:pStyle w:val="750"/>
        <w:tabs>
          <w:tab w:val="clear" w:pos="9628" w:leader="none"/>
          <w:tab w:val="right" w:pos="9638" w:leader="dot"/>
        </w:tabs>
        <w:rPr>
          <w:rFonts w:ascii="黑体" w:hAnsi="黑体" w:eastAsia="黑体"/>
          <w:color w:val="000000"/>
        </w:rPr>
      </w:pPr>
      <w:r>
        <w:rPr>
          <w:rFonts w:hint="eastAsia" w:ascii="黑体" w:hAnsi="黑体" w:eastAsia="黑体"/>
          <w:color w:val="000000"/>
        </w:rPr>
        <w:t xml:space="preserve">目      录</w:t>
      </w:r>
      <w:r/>
    </w:p>
    <w:p>
      <w:pPr>
        <w:pStyle w:val="750"/>
        <w:tabs>
          <w:tab w:val="clear" w:pos="9628" w:leader="none"/>
          <w:tab w:val="right" w:pos="9638" w:leader="dot"/>
        </w:tabs>
        <w:rPr>
          <w:color w:val="000000"/>
        </w:rPr>
      </w:pPr>
      <w:r>
        <w:rPr>
          <w:rFonts w:hint="eastAsia" w:ascii="黑体" w:hAnsi="黑体" w:eastAsia="黑体"/>
          <w:color w:val="000000"/>
        </w:rPr>
        <w:t xml:space="preserve">第一章  投标邀请</w:t>
      </w:r>
      <w:r>
        <w:rPr>
          <w:color w:val="000000"/>
        </w:rPr>
        <w:tab/>
      </w:r>
      <w:r>
        <w:rPr>
          <w:color w:val="000000"/>
        </w:rPr>
        <w:fldChar w:fldCharType="begin"/>
      </w:r>
      <w:r>
        <w:rPr>
          <w:color w:val="000000"/>
        </w:rPr>
        <w:instrText xml:space="preserve"> PAGEREF _Toc288 \h </w:instrText>
      </w:r>
      <w:r>
        <w:rPr>
          <w:color w:val="000000"/>
        </w:rPr>
        <w:fldChar w:fldCharType="separate"/>
      </w:r>
      <w:r>
        <w:rPr>
          <w:color w:val="000000"/>
        </w:rPr>
        <w:t xml:space="preserve">3</w:t>
      </w:r>
      <w:r>
        <w:rPr>
          <w:color w:val="000000"/>
        </w:rPr>
        <w:fldChar w:fldCharType="end"/>
      </w:r>
      <w:r/>
    </w:p>
    <w:p>
      <w:pPr>
        <w:pStyle w:val="750"/>
        <w:tabs>
          <w:tab w:val="clear" w:pos="9628" w:leader="none"/>
          <w:tab w:val="right" w:pos="9638" w:leader="dot"/>
        </w:tabs>
        <w:rPr>
          <w:color w:val="000000"/>
        </w:rPr>
      </w:pPr>
      <w:r>
        <w:rPr>
          <w:rFonts w:hint="eastAsia" w:ascii="黑体" w:hAnsi="黑体" w:eastAsia="黑体"/>
          <w:color w:val="000000"/>
        </w:rPr>
        <w:t xml:space="preserve">第二章  投标人须知</w:t>
      </w:r>
      <w:r>
        <w:rPr>
          <w:color w:val="000000"/>
        </w:rPr>
        <w:tab/>
      </w:r>
      <w:r>
        <w:rPr>
          <w:color w:val="000000"/>
        </w:rPr>
        <w:fldChar w:fldCharType="begin"/>
      </w:r>
      <w:r>
        <w:rPr>
          <w:color w:val="000000"/>
        </w:rPr>
        <w:instrText xml:space="preserve"> PAGEREF _Toc15273 \h </w:instrText>
      </w:r>
      <w:r>
        <w:rPr>
          <w:color w:val="000000"/>
        </w:rPr>
        <w:fldChar w:fldCharType="separate"/>
      </w:r>
      <w:r>
        <w:rPr>
          <w:color w:val="000000"/>
        </w:rPr>
        <w:t xml:space="preserve">7</w:t>
      </w:r>
      <w:r>
        <w:rPr>
          <w:color w:val="000000"/>
        </w:rPr>
        <w:fldChar w:fldCharType="end"/>
      </w:r>
      <w:r/>
    </w:p>
    <w:p>
      <w:pPr>
        <w:pStyle w:val="750"/>
        <w:tabs>
          <w:tab w:val="clear" w:pos="9628" w:leader="none"/>
          <w:tab w:val="right" w:pos="9638" w:leader="dot"/>
        </w:tabs>
        <w:rPr>
          <w:color w:val="000000"/>
        </w:rPr>
      </w:pPr>
      <w:r>
        <w:rPr>
          <w:rFonts w:hint="eastAsia" w:ascii="黑体" w:hAnsi="黑体" w:eastAsia="黑体"/>
          <w:color w:val="000000"/>
        </w:rPr>
        <w:t xml:space="preserve">第三章  合同文本</w:t>
      </w:r>
      <w:r>
        <w:rPr>
          <w:color w:val="000000"/>
        </w:rPr>
        <w:tab/>
      </w:r>
      <w:r>
        <w:rPr>
          <w:color w:val="000000"/>
        </w:rPr>
        <w:fldChar w:fldCharType="begin"/>
      </w:r>
      <w:r>
        <w:rPr>
          <w:color w:val="000000"/>
        </w:rPr>
        <w:instrText xml:space="preserve"> PAGEREF _Toc30190 \h </w:instrText>
      </w:r>
      <w:r>
        <w:rPr>
          <w:color w:val="000000"/>
        </w:rPr>
        <w:fldChar w:fldCharType="separate"/>
      </w:r>
      <w:r>
        <w:rPr>
          <w:color w:val="000000"/>
        </w:rPr>
        <w:t xml:space="preserve">23</w:t>
      </w:r>
      <w:r>
        <w:rPr>
          <w:color w:val="000000"/>
        </w:rPr>
        <w:fldChar w:fldCharType="end"/>
      </w:r>
      <w:r/>
    </w:p>
    <w:p>
      <w:pPr>
        <w:pStyle w:val="750"/>
        <w:tabs>
          <w:tab w:val="clear" w:pos="9628" w:leader="none"/>
          <w:tab w:val="right" w:pos="9638" w:leader="dot"/>
        </w:tabs>
        <w:rPr>
          <w:color w:val="000000"/>
        </w:rPr>
      </w:pPr>
      <w:r>
        <w:rPr>
          <w:rFonts w:hint="eastAsia" w:ascii="黑体" w:hAnsi="黑体" w:eastAsia="黑体"/>
          <w:color w:val="000000"/>
        </w:rPr>
        <w:t xml:space="preserve">第四章  采购需求</w:t>
      </w:r>
      <w:r>
        <w:rPr>
          <w:color w:val="000000"/>
        </w:rPr>
        <w:tab/>
      </w:r>
      <w:r>
        <w:rPr>
          <w:color w:val="000000"/>
        </w:rPr>
        <w:fldChar w:fldCharType="begin"/>
      </w:r>
      <w:r>
        <w:rPr>
          <w:color w:val="000000"/>
        </w:rPr>
        <w:instrText xml:space="preserve"> PAGEREF _Toc27103 \h </w:instrText>
      </w:r>
      <w:r>
        <w:rPr>
          <w:color w:val="000000"/>
        </w:rPr>
        <w:fldChar w:fldCharType="separate"/>
      </w:r>
      <w:r>
        <w:rPr>
          <w:color w:val="000000"/>
        </w:rPr>
        <w:t xml:space="preserve">29</w:t>
      </w:r>
      <w:r>
        <w:rPr>
          <w:color w:val="000000"/>
        </w:rPr>
        <w:fldChar w:fldCharType="end"/>
      </w:r>
      <w:r/>
    </w:p>
    <w:p>
      <w:pPr>
        <w:pStyle w:val="750"/>
        <w:tabs>
          <w:tab w:val="clear" w:pos="9628" w:leader="none"/>
          <w:tab w:val="right" w:pos="9638" w:leader="dot"/>
        </w:tabs>
        <w:rPr>
          <w:color w:val="000000"/>
        </w:rPr>
      </w:pPr>
      <w:r>
        <w:rPr>
          <w:rFonts w:ascii="黑体" w:hAnsi="黑体" w:eastAsia="黑体"/>
          <w:color w:val="000000"/>
        </w:rPr>
        <w:t xml:space="preserve">第五章</w:t>
      </w:r>
      <w:r>
        <w:rPr>
          <w:rFonts w:hint="eastAsia" w:ascii="黑体" w:hAnsi="黑体" w:eastAsia="黑体"/>
          <w:color w:val="000000"/>
        </w:rPr>
        <w:t xml:space="preserve">  评标方法与评标标准</w:t>
      </w:r>
      <w:r>
        <w:rPr>
          <w:color w:val="000000"/>
        </w:rPr>
        <w:tab/>
      </w:r>
      <w:r>
        <w:rPr>
          <w:color w:val="000000"/>
        </w:rPr>
        <w:fldChar w:fldCharType="begin"/>
      </w:r>
      <w:r>
        <w:rPr>
          <w:color w:val="000000"/>
        </w:rPr>
        <w:instrText xml:space="preserve"> PAGEREF _Toc29664 \h </w:instrText>
      </w:r>
      <w:r>
        <w:rPr>
          <w:color w:val="000000"/>
        </w:rPr>
        <w:fldChar w:fldCharType="separate"/>
      </w:r>
      <w:r>
        <w:rPr>
          <w:color w:val="000000"/>
        </w:rPr>
        <w:t xml:space="preserve">29</w:t>
      </w:r>
      <w:r>
        <w:rPr>
          <w:color w:val="000000"/>
        </w:rPr>
        <w:fldChar w:fldCharType="end"/>
      </w:r>
      <w:r/>
    </w:p>
    <w:p>
      <w:pPr>
        <w:pStyle w:val="750"/>
        <w:tabs>
          <w:tab w:val="clear" w:pos="9628" w:leader="none"/>
          <w:tab w:val="right" w:pos="9638" w:leader="dot"/>
        </w:tabs>
        <w:rPr>
          <w:color w:val="000000"/>
        </w:rPr>
      </w:pPr>
      <w:r>
        <w:rPr>
          <w:rFonts w:hint="eastAsia" w:ascii="黑体" w:hAnsi="黑体" w:eastAsia="黑体"/>
          <w:color w:val="000000"/>
        </w:rPr>
        <w:t xml:space="preserve">第六章  投标文件格式</w:t>
      </w:r>
      <w:r>
        <w:rPr>
          <w:color w:val="000000"/>
        </w:rPr>
        <w:tab/>
      </w:r>
      <w:r>
        <w:rPr>
          <w:color w:val="000000"/>
        </w:rPr>
        <w:fldChar w:fldCharType="begin"/>
      </w:r>
      <w:r>
        <w:rPr>
          <w:color w:val="000000"/>
        </w:rPr>
        <w:instrText xml:space="preserve"> PAGEREF _Toc3751 \h </w:instrText>
      </w:r>
      <w:r>
        <w:rPr>
          <w:color w:val="000000"/>
        </w:rPr>
        <w:fldChar w:fldCharType="separate"/>
      </w:r>
      <w:r>
        <w:rPr>
          <w:color w:val="000000"/>
        </w:rPr>
        <w:t xml:space="preserve">70</w:t>
      </w:r>
      <w:r>
        <w:rPr>
          <w:color w:val="000000"/>
        </w:rPr>
        <w:fldChar w:fldCharType="end"/>
      </w:r>
      <w:r/>
    </w:p>
    <w:p>
      <w:pPr>
        <w:spacing w:before="120" w:after="120" w:line="360" w:lineRule="auto"/>
        <w:widowControl/>
        <w:rPr>
          <w:rFonts w:ascii="宋体" w:hAnsi="宋体"/>
          <w:color w:val="000000"/>
          <w:sz w:val="28"/>
        </w:rPr>
      </w:pPr>
      <w:r>
        <w:rPr>
          <w:rFonts w:ascii="宋体" w:hAnsi="宋体"/>
          <w:color w:val="000000"/>
          <w:sz w:val="24"/>
        </w:rPr>
        <w:fldChar w:fldCharType="end"/>
      </w:r>
      <w:r/>
    </w:p>
    <w:p>
      <w:pPr>
        <w:pStyle w:val="690"/>
        <w:jc w:val="center"/>
        <w:spacing w:line="360" w:lineRule="auto"/>
        <w:rPr>
          <w:rFonts w:ascii="黑体" w:hAnsi="黑体" w:eastAsia="黑体"/>
          <w:b w:val="0"/>
          <w:color w:val="000000"/>
        </w:rPr>
        <w:sectPr>
          <w:footerReference w:type="default" r:id="rId9"/>
          <w:footnotePr/>
          <w:endnotePr/>
          <w:type w:val="nextPage"/>
          <w:pgSz w:w="11906" w:h="16838" w:orient="portrait"/>
          <w:pgMar w:top="1134" w:right="1134" w:bottom="1134" w:left="1134" w:header="851" w:footer="992" w:gutter="0"/>
          <w:cols w:num="1" w:sep="0" w:space="1701" w:equalWidth="1"/>
          <w:docGrid w:linePitch="360"/>
        </w:sectPr>
      </w:pPr>
      <w:r>
        <w:rPr>
          <w:rFonts w:ascii="黑体" w:hAnsi="黑体" w:eastAsia="黑体"/>
          <w:b w:val="0"/>
          <w:color w:val="000000"/>
        </w:rPr>
      </w:r>
      <w:r/>
    </w:p>
    <w:p>
      <w:pPr>
        <w:pStyle w:val="690"/>
        <w:jc w:val="center"/>
        <w:spacing w:line="360" w:lineRule="auto"/>
        <w:rPr>
          <w:rFonts w:ascii="黑体" w:hAnsi="黑体" w:eastAsia="黑体"/>
          <w:b w:val="0"/>
          <w:color w:val="000000"/>
        </w:rPr>
      </w:pPr>
      <w:r/>
      <w:bookmarkStart w:id="0" w:name="_Toc288"/>
      <w:r>
        <w:rPr>
          <w:rFonts w:hint="eastAsia" w:ascii="黑体" w:hAnsi="黑体" w:eastAsia="黑体"/>
          <w:b w:val="0"/>
          <w:color w:val="000000"/>
        </w:rPr>
        <w:t xml:space="preserve">第一章  投标邀请</w:t>
      </w:r>
      <w:bookmarkEnd w:id="0"/>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受</w:t>
      </w:r>
      <w:r>
        <w:rPr>
          <w:rFonts w:hint="eastAsia" w:ascii="宋体" w:hAnsi="宋体" w:cs="宋体"/>
          <w:color w:val="000000"/>
          <w:sz w:val="24"/>
          <w:szCs w:val="24"/>
        </w:rPr>
        <w:t xml:space="preserve">连云港市东海生态环境局</w:t>
      </w:r>
      <w:r>
        <w:rPr>
          <w:rFonts w:hint="eastAsia" w:ascii="宋体" w:hAnsi="宋体"/>
          <w:color w:val="000000"/>
          <w:sz w:val="24"/>
          <w:szCs w:val="24"/>
        </w:rPr>
        <w:t xml:space="preserve">的委托，中瀛国际工程管理有限公司就</w:t>
      </w:r>
      <w:r>
        <w:rPr>
          <w:rFonts w:hint="eastAsia" w:ascii="宋体" w:hAnsi="宋体"/>
          <w:color w:val="000000"/>
          <w:sz w:val="24"/>
          <w:szCs w:val="24"/>
          <w:lang w:eastAsia="zh-CN"/>
        </w:rPr>
        <w:t xml:space="preserve">连云港市东海生态环境局智慧化水环境监测能力建设项目</w:t>
      </w:r>
      <w:r>
        <w:rPr>
          <w:rFonts w:hint="eastAsia" w:ascii="宋体" w:hAnsi="宋体"/>
          <w:color w:val="000000"/>
          <w:sz w:val="24"/>
          <w:szCs w:val="24"/>
        </w:rPr>
        <w:t xml:space="preserve">（项目编号:</w:t>
      </w:r>
      <w:r>
        <w:rPr>
          <w:rFonts w:hint="eastAsia" w:ascii="宋体" w:hAnsi="宋体" w:cs="宋体"/>
          <w:color w:val="000000"/>
          <w:sz w:val="24"/>
          <w:szCs w:val="24"/>
          <w:highlight w:val="none"/>
          <w:lang w:val="en-US" w:eastAsia="zh-CN"/>
        </w:rPr>
        <w:t xml:space="preserve">JSZC-320722-ZYGJ-G2026-0006</w:t>
      </w:r>
      <w:r>
        <w:rPr>
          <w:rFonts w:hint="eastAsia" w:ascii="宋体" w:hAnsi="宋体"/>
          <w:color w:val="000000"/>
          <w:sz w:val="24"/>
          <w:szCs w:val="24"/>
          <w:highlight w:val="none"/>
        </w:rPr>
        <w:t xml:space="preserve">）</w:t>
      </w:r>
      <w:r>
        <w:rPr>
          <w:rFonts w:hint="eastAsia" w:ascii="宋体" w:hAnsi="宋体"/>
          <w:color w:val="000000"/>
          <w:sz w:val="24"/>
          <w:szCs w:val="24"/>
        </w:rPr>
        <w:t xml:space="preserve">项目进行公开招标采购，欢迎符合条件的供应商投标。</w:t>
      </w:r>
      <w:r/>
    </w:p>
    <w:tbl>
      <w:tblPr>
        <w:tblStyle w:val="76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47"/>
      </w:tblGrid>
      <w:tr>
        <w:trPr/>
        <w:tc>
          <w:tcPr>
            <w:tcW w:w="9747" w:type="dxa"/>
            <w:textDirection w:val="lrTb"/>
            <w:noWrap w:val="false"/>
          </w:tcPr>
          <w:p>
            <w:pPr>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项目概况</w:t>
            </w:r>
            <w:r/>
          </w:p>
          <w:p>
            <w:pPr>
              <w:ind w:firstLine="482"/>
              <w:spacing w:line="500" w:lineRule="exact"/>
              <w:rPr>
                <w:rFonts w:ascii="宋体" w:hAnsi="宋体"/>
                <w:color w:val="000000"/>
                <w:sz w:val="24"/>
                <w:szCs w:val="24"/>
                <w:highlight w:val="none"/>
              </w:rPr>
            </w:pPr>
            <w:r>
              <w:rPr>
                <w:rFonts w:hint="eastAsia" w:ascii="宋体" w:hAnsi="宋体"/>
                <w:b/>
                <w:color w:val="000000"/>
                <w:sz w:val="24"/>
                <w:szCs w:val="24"/>
                <w:highlight w:val="none"/>
                <w:u w:val="single"/>
                <w:lang w:eastAsia="zh-CN"/>
              </w:rPr>
              <w:t xml:space="preserve">连云港市东海生态环境局智慧化水环境监测能力建设项目</w:t>
            </w:r>
            <w:r>
              <w:rPr>
                <w:rFonts w:hint="eastAsia" w:ascii="宋体" w:hAnsi="宋体"/>
                <w:color w:val="000000"/>
                <w:sz w:val="24"/>
                <w:szCs w:val="24"/>
                <w:highlight w:val="none"/>
              </w:rPr>
              <w:t xml:space="preserve">招标项目的潜在投标人应在</w:t>
            </w:r>
            <w:r>
              <w:rPr>
                <w:rFonts w:hint="eastAsia" w:ascii="宋体" w:hAnsi="宋体"/>
                <w:b/>
                <w:color w:val="000000"/>
                <w:sz w:val="24"/>
                <w:szCs w:val="24"/>
                <w:highlight w:val="none"/>
                <w:u w:val="single"/>
              </w:rPr>
              <w:t xml:space="preserve">江苏政府采购网</w:t>
            </w:r>
            <w:r>
              <w:rPr>
                <w:rFonts w:hint="eastAsia" w:ascii="宋体" w:hAnsi="宋体"/>
                <w:color w:val="000000"/>
                <w:sz w:val="24"/>
                <w:szCs w:val="24"/>
                <w:highlight w:val="none"/>
              </w:rPr>
              <w:t xml:space="preserve">自行免费下载招标文件，并于</w:t>
            </w:r>
            <w:r>
              <w:rPr>
                <w:rFonts w:hint="eastAsia" w:ascii="宋体" w:hAnsi="宋体"/>
                <w:b/>
                <w:color w:val="000000"/>
                <w:sz w:val="24"/>
                <w:szCs w:val="24"/>
                <w:highlight w:val="none"/>
                <w:u w:val="single"/>
              </w:rPr>
              <w:t xml:space="preserve">202</w:t>
            </w:r>
            <w:r>
              <w:rPr>
                <w:rFonts w:hint="eastAsia" w:ascii="宋体" w:hAnsi="宋体"/>
                <w:b/>
                <w:color w:val="000000"/>
                <w:sz w:val="24"/>
                <w:szCs w:val="24"/>
                <w:highlight w:val="none"/>
                <w:u w:val="single"/>
                <w:lang w:val="en-US" w:eastAsia="zh-CN"/>
              </w:rPr>
              <w:t xml:space="preserve">6</w:t>
            </w:r>
            <w:r>
              <w:rPr>
                <w:rFonts w:hint="eastAsia" w:ascii="宋体" w:hAnsi="宋体"/>
                <w:b/>
                <w:color w:val="000000"/>
                <w:sz w:val="24"/>
                <w:szCs w:val="24"/>
                <w:highlight w:val="none"/>
                <w:u w:val="single"/>
              </w:rPr>
              <w:t xml:space="preserve">年</w:t>
            </w:r>
            <w:r>
              <w:rPr>
                <w:rFonts w:hint="eastAsia" w:ascii="宋体" w:hAnsi="宋体"/>
                <w:b/>
                <w:color w:val="000000"/>
                <w:sz w:val="24"/>
                <w:szCs w:val="24"/>
                <w:highlight w:val="none"/>
                <w:u w:val="single"/>
                <w:lang w:val="en-US" w:eastAsia="zh-CN"/>
              </w:rPr>
              <w:t xml:space="preserve">8</w:t>
            </w:r>
            <w:r>
              <w:rPr>
                <w:rFonts w:hint="eastAsia" w:ascii="宋体" w:hAnsi="宋体"/>
                <w:b/>
                <w:color w:val="000000"/>
                <w:sz w:val="24"/>
                <w:szCs w:val="24"/>
                <w:highlight w:val="none"/>
                <w:u w:val="single"/>
              </w:rPr>
              <w:t xml:space="preserve">月</w:t>
            </w:r>
            <w:r>
              <w:rPr>
                <w:rFonts w:hint="eastAsia" w:ascii="宋体" w:hAnsi="宋体"/>
                <w:b/>
                <w:color w:val="000000"/>
                <w:sz w:val="24"/>
                <w:szCs w:val="24"/>
                <w:highlight w:val="none"/>
                <w:u w:val="single"/>
              </w:rPr>
              <w:t xml:space="preserve">11日9:00:00</w:t>
            </w:r>
            <w:r>
              <w:rPr>
                <w:rFonts w:hint="eastAsia" w:ascii="宋体" w:hAnsi="宋体"/>
                <w:color w:val="000000"/>
                <w:sz w:val="24"/>
                <w:szCs w:val="24"/>
                <w:highlight w:val="none"/>
              </w:rPr>
              <w:t xml:space="preserve">（北京时间）前递交（上传）投标文件。</w:t>
            </w:r>
            <w:r/>
          </w:p>
        </w:tc>
      </w:tr>
    </w:tbl>
    <w:p>
      <w:pPr>
        <w:pStyle w:val="691"/>
        <w:spacing w:before="0" w:after="0" w:line="500" w:lineRule="exact"/>
        <w:rPr>
          <w:rFonts w:ascii="宋体" w:hAnsi="宋体" w:eastAsia="宋体"/>
          <w:color w:val="000000"/>
          <w:highlight w:val="none"/>
        </w:rPr>
      </w:pPr>
      <w:r>
        <w:rPr>
          <w:rFonts w:hint="eastAsia" w:ascii="宋体" w:hAnsi="宋体" w:eastAsia="宋体"/>
          <w:color w:val="000000"/>
          <w:highlight w:val="none"/>
        </w:rPr>
        <w:t xml:space="preserve">一、项目基本情况</w:t>
      </w:r>
      <w:r/>
    </w:p>
    <w:p>
      <w:pPr>
        <w:ind w:firstLine="480"/>
        <w:spacing w:line="50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项目编号：</w:t>
      </w:r>
      <w:r>
        <w:rPr>
          <w:rFonts w:hint="eastAsia" w:ascii="宋体" w:hAnsi="宋体" w:cs="宋体"/>
          <w:color w:val="000000"/>
          <w:sz w:val="24"/>
          <w:szCs w:val="24"/>
          <w:highlight w:val="none"/>
          <w:lang w:val="en-US" w:eastAsia="zh-CN"/>
        </w:rPr>
        <w:t xml:space="preserve">JSZC-320722-ZYGJ-G2026-0006</w:t>
      </w:r>
      <w:r/>
    </w:p>
    <w:p>
      <w:pPr>
        <w:ind w:firstLine="480"/>
        <w:spacing w:line="50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项目名称：</w:t>
      </w:r>
      <w:r>
        <w:rPr>
          <w:rFonts w:hint="eastAsia" w:ascii="宋体" w:hAnsi="宋体" w:cs="宋体"/>
          <w:color w:val="000000"/>
          <w:sz w:val="24"/>
          <w:szCs w:val="24"/>
          <w:highlight w:val="none"/>
          <w:lang w:eastAsia="zh-CN"/>
        </w:rPr>
        <w:t xml:space="preserve">连云港市东海生态环境局智慧化水环境监测能力建设项目</w:t>
      </w:r>
      <w:r/>
    </w:p>
    <w:p>
      <w:pPr>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采购方式：公开招标</w:t>
      </w:r>
      <w:r/>
    </w:p>
    <w:p>
      <w:pPr>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预算金额：</w:t>
      </w:r>
      <w:r>
        <w:rPr>
          <w:rFonts w:hint="eastAsia" w:ascii="宋体" w:hAnsi="宋体" w:cs="宋体"/>
          <w:color w:val="000000"/>
          <w:sz w:val="24"/>
          <w:szCs w:val="24"/>
          <w:highlight w:val="none"/>
          <w:lang w:val="en-US" w:eastAsia="zh-CN"/>
        </w:rPr>
        <w:t xml:space="preserve">722.5</w:t>
      </w:r>
      <w:r>
        <w:rPr>
          <w:rFonts w:hint="eastAsia" w:ascii="宋体" w:hAnsi="宋体" w:cs="宋体"/>
          <w:color w:val="000000"/>
          <w:sz w:val="24"/>
          <w:szCs w:val="24"/>
          <w:highlight w:val="none"/>
        </w:rPr>
        <w:t xml:space="preserve">万元</w:t>
      </w:r>
      <w:r/>
    </w:p>
    <w:p>
      <w:pPr>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最高限价：</w:t>
      </w:r>
      <w:r>
        <w:rPr>
          <w:rFonts w:hint="eastAsia" w:ascii="宋体" w:hAnsi="宋体" w:cs="宋体"/>
          <w:color w:val="000000"/>
          <w:sz w:val="24"/>
          <w:szCs w:val="24"/>
          <w:highlight w:val="none"/>
          <w:lang w:val="en-US" w:eastAsia="zh-CN"/>
        </w:rPr>
        <w:t xml:space="preserve">722.5</w:t>
      </w:r>
      <w:r>
        <w:rPr>
          <w:rFonts w:hint="eastAsia" w:ascii="宋体" w:hAnsi="宋体" w:cs="宋体"/>
          <w:color w:val="000000"/>
          <w:sz w:val="24"/>
          <w:szCs w:val="24"/>
          <w:highlight w:val="none"/>
        </w:rPr>
        <w:t xml:space="preserve">万元，投标报价不得超过最高限价，否则投标无效</w:t>
      </w:r>
      <w:r/>
    </w:p>
    <w:p>
      <w:pPr>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采购需求：购置自动分析设备、自动分液设备、自动流转及进样设备等17款23台/套仪器设备，打造"黑灯"实验室，实现样品自动分样、流转、进样、分析及质控功能;补齐监则能力缺口，提升实验室智能化、自动化管控水平，支撑东海县水环境质量监测、污染源监测及应急监测等工作。所有仪器设备需符合国家/行业相关标准，确保监测数据真实、准确、有效，具体详见第四部分采购需求</w:t>
      </w:r>
      <w:r/>
    </w:p>
    <w:p>
      <w:pPr>
        <w:ind w:firstLine="482"/>
        <w:spacing w:line="500" w:lineRule="exact"/>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对本项目采购需求部分的询问、质疑请与采购人联系，由采购人负责答复。</w:t>
      </w:r>
      <w:r/>
    </w:p>
    <w:p>
      <w:pPr>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合同履行期限：自合同签订之日起90日历天内完成供货并通过验收、交付使用</w:t>
      </w:r>
      <w:r/>
    </w:p>
    <w:p>
      <w:pPr>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本项目不接受联合体投标。</w:t>
      </w:r>
      <w:r/>
    </w:p>
    <w:p>
      <w:pPr>
        <w:pStyle w:val="691"/>
        <w:spacing w:before="0" w:after="0" w:line="500" w:lineRule="exact"/>
        <w:rPr>
          <w:rFonts w:ascii="宋体" w:hAnsi="宋体" w:eastAsia="宋体"/>
          <w:color w:val="000000"/>
          <w:highlight w:val="none"/>
        </w:rPr>
      </w:pPr>
      <w:r>
        <w:rPr>
          <w:rFonts w:hint="eastAsia" w:ascii="宋体" w:hAnsi="宋体" w:eastAsia="宋体"/>
          <w:color w:val="000000"/>
          <w:highlight w:val="none"/>
        </w:rPr>
        <w:t xml:space="preserve">二、申请人的资格要求</w:t>
      </w:r>
      <w:r/>
    </w:p>
    <w:p>
      <w:pPr>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（一）满足《中华人民共和国政府采购法》第二十二条规定，并提供下列材料：</w:t>
      </w:r>
      <w:r/>
    </w:p>
    <w:p>
      <w:pPr>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1.法人或者其他组织的营业执照等证明文件，自然人的身份证明；</w:t>
      </w:r>
      <w:r/>
    </w:p>
    <w:p>
      <w:pPr>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2.上一年度经审计的财务状况报告(成立不满一年无需提供）；</w:t>
      </w:r>
      <w:r/>
    </w:p>
    <w:p>
      <w:pPr>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500" w:lineRule="exact"/>
        <w:rPr>
          <w:rFonts w:ascii="宋体" w:hAnsi="宋体" w:cs="宋体"/>
          <w:color w:val="000000"/>
          <w:sz w:val="24"/>
          <w:szCs w:val="24"/>
        </w:rPr>
      </w:pPr>
      <w:r>
        <w:rPr>
          <w:rFonts w:hint="eastAsia" w:ascii="宋体" w:hAnsi="宋体" w:cs="宋体"/>
          <w:b/>
          <w:bCs/>
          <w:color w:val="000000"/>
          <w:sz w:val="24"/>
          <w:szCs w:val="24"/>
        </w:rPr>
        <w:t xml:space="preserve">根据连财购〔2023〕4号文件精神，2、3项可以提供《财务状况报告及税收、社会保障资金缴纳情况承诺函》，详见第六章 投标文件格式。</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4.具备履行合同所必需的设备和专业技术能力的声明及证明材料；</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5.参加政府采购活动前3年内在经营活动中没有重大违法记录的书面声明。</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6.法律、行政法规规定的其他条件。（如有，请按要求提供）</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7.资格审查现场查询信用中国、中国政府采购网，投标人被列入失信被执行人、税收违法黑名单、政府采购严重违法失信行为记录名单及具有其他不符合《中华人民共和国政府采购法》第二十二条规定情形的，拒绝其参与政府采购活动。（投标文件中无需提供证明材料）</w:t>
      </w:r>
      <w:r/>
    </w:p>
    <w:p>
      <w:pPr>
        <w:ind w:firstLine="482"/>
        <w:spacing w:line="500" w:lineRule="exact"/>
        <w:rPr>
          <w:rFonts w:hint="eastAsia" w:ascii="宋体" w:hAnsi="宋体" w:eastAsia="黑体" w:cs="宋体"/>
          <w:b/>
          <w:bCs/>
          <w:color w:val="000000"/>
          <w:sz w:val="24"/>
          <w:szCs w:val="24"/>
          <w:lang w:val="en-US" w:eastAsia="zh-CN"/>
        </w:rPr>
      </w:pPr>
      <w:r>
        <w:rPr>
          <w:rFonts w:hint="eastAsia" w:ascii="宋体" w:hAnsi="宋体" w:cs="宋体"/>
          <w:bCs/>
          <w:color w:val="000000"/>
          <w:sz w:val="24"/>
          <w:szCs w:val="24"/>
        </w:rPr>
        <w:t xml:space="preserve">（二）落实政府采购政策需满足的资格要求：</w:t>
      </w:r>
      <w:r>
        <w:rPr>
          <w:rFonts w:hint="eastAsia" w:ascii="宋体" w:hAnsi="宋体" w:cs="宋体"/>
          <w:bCs/>
          <w:color w:val="000000"/>
          <w:sz w:val="24"/>
          <w:szCs w:val="24"/>
          <w:lang w:val="en-US" w:eastAsia="zh-CN"/>
        </w:rPr>
        <w:t xml:space="preserve">执行财政部、工业和信息化部《关于印发〈政府采购促进中小企业发展管理办法)的通知》(财库(2020)46号)、江苏省财政厅《关于进一步加大政府采购支持中小企业力度的通知》(苏财购[2022]45号)，本项目专门面向中小企业采购，符合文件要求的供应商应提交《中小企业声明函》，并上传至电子响应文件中。</w:t>
      </w:r>
      <w:r/>
    </w:p>
    <w:p>
      <w:pPr>
        <w:ind w:firstLine="482"/>
        <w:jc w:val="left"/>
        <w:spacing w:line="500" w:lineRule="exact"/>
        <w:rPr>
          <w:rFonts w:ascii="宋体" w:hAnsi="宋体"/>
          <w:bCs/>
          <w:color w:val="000000"/>
          <w:sz w:val="24"/>
          <w:szCs w:val="24"/>
        </w:rPr>
      </w:pPr>
      <w:r>
        <w:rPr>
          <w:rFonts w:hint="eastAsia" w:ascii="宋体" w:hAnsi="宋体"/>
          <w:bCs/>
          <w:color w:val="000000"/>
          <w:sz w:val="24"/>
          <w:szCs w:val="24"/>
        </w:rPr>
        <w:t xml:space="preserve">（三）本项目的特定资格要求：无。</w:t>
      </w:r>
      <w:r/>
    </w:p>
    <w:p>
      <w:pPr>
        <w:pStyle w:val="691"/>
        <w:spacing w:before="0" w:after="0" w:line="500" w:lineRule="exact"/>
        <w:rPr>
          <w:rFonts w:ascii="宋体" w:hAnsi="宋体" w:eastAsia="宋体"/>
          <w:bCs w:val="0"/>
          <w:color w:val="000000"/>
          <w:szCs w:val="22"/>
          <w:highlight w:val="none"/>
        </w:rPr>
      </w:pPr>
      <w:r>
        <w:rPr>
          <w:rFonts w:hint="eastAsia" w:ascii="宋体" w:hAnsi="宋体" w:eastAsia="宋体"/>
          <w:bCs w:val="0"/>
          <w:color w:val="000000"/>
          <w:szCs w:val="22"/>
          <w:highlight w:val="none"/>
        </w:rPr>
        <w:t xml:space="preserve">三、获取招标文件</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时间：自招标文件公告发布之日起5个工作日</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地点：在“江苏政府采购网”自行免费下载招标文件</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方式：投标人办理江苏省政府采购交易系统CA数字证书，登录“苏采云”政府采购交易系统，自行下载。</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售价：0.00元</w:t>
      </w:r>
      <w:r/>
    </w:p>
    <w:p>
      <w:pPr>
        <w:pStyle w:val="691"/>
        <w:spacing w:before="0" w:after="0" w:line="500" w:lineRule="exact"/>
        <w:rPr>
          <w:rFonts w:ascii="宋体" w:hAnsi="宋体" w:eastAsia="宋体"/>
          <w:bCs w:val="0"/>
          <w:color w:val="000000"/>
          <w:szCs w:val="22"/>
          <w:highlight w:val="none"/>
        </w:rPr>
      </w:pPr>
      <w:r>
        <w:rPr>
          <w:rFonts w:hint="eastAsia" w:ascii="宋体" w:hAnsi="宋体" w:eastAsia="宋体"/>
          <w:bCs w:val="0"/>
          <w:color w:val="000000"/>
          <w:szCs w:val="22"/>
          <w:highlight w:val="none"/>
        </w:rPr>
        <w:t xml:space="preserve">四、提交投标文件截止时间、开标时间和地点</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提交投标文件截止时间：202</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年</w:t>
      </w:r>
      <w:r>
        <w:rPr>
          <w:rFonts w:hint="eastAsia" w:ascii="宋体" w:hAnsi="宋体"/>
          <w:color w:val="000000"/>
          <w:sz w:val="24"/>
          <w:szCs w:val="24"/>
          <w:highlight w:val="none"/>
          <w:lang w:val="en-US" w:eastAsia="zh-CN"/>
        </w:rPr>
        <w:t xml:space="preserve">8</w:t>
      </w:r>
      <w:r>
        <w:rPr>
          <w:rFonts w:hint="eastAsia" w:ascii="宋体" w:hAnsi="宋体"/>
          <w:color w:val="000000"/>
          <w:sz w:val="24"/>
          <w:szCs w:val="24"/>
          <w:highlight w:val="none"/>
        </w:rPr>
        <w:t xml:space="preserve">月</w:t>
      </w:r>
      <w:r>
        <w:rPr>
          <w:rFonts w:hint="eastAsia" w:ascii="宋体" w:hAnsi="宋体"/>
          <w:color w:val="000000"/>
          <w:sz w:val="24"/>
          <w:szCs w:val="24"/>
          <w:highlight w:val="none"/>
          <w:lang w:val="en-US" w:eastAsia="zh-CN"/>
        </w:rPr>
        <w:t xml:space="preserve">11</w:t>
      </w:r>
      <w:r>
        <w:rPr>
          <w:rFonts w:hint="eastAsia" w:ascii="宋体" w:hAnsi="宋体"/>
          <w:color w:val="000000"/>
          <w:sz w:val="24"/>
          <w:szCs w:val="24"/>
          <w:highlight w:val="none"/>
        </w:rPr>
        <w:t xml:space="preserve">日9:00:00（北京时间）</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开标时间：202</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年</w:t>
      </w:r>
      <w:r>
        <w:rPr>
          <w:rFonts w:hint="eastAsia" w:ascii="宋体" w:hAnsi="宋体"/>
          <w:color w:val="000000"/>
          <w:sz w:val="24"/>
          <w:szCs w:val="24"/>
          <w:highlight w:val="none"/>
          <w:lang w:val="en-US" w:eastAsia="zh-CN"/>
        </w:rPr>
        <w:t xml:space="preserve">8</w:t>
      </w:r>
      <w:r>
        <w:rPr>
          <w:rFonts w:hint="eastAsia" w:ascii="宋体" w:hAnsi="宋体"/>
          <w:color w:val="000000"/>
          <w:sz w:val="24"/>
          <w:szCs w:val="24"/>
          <w:highlight w:val="none"/>
        </w:rPr>
        <w:t xml:space="preserve">月</w:t>
      </w:r>
      <w:r>
        <w:rPr>
          <w:rFonts w:hint="eastAsia" w:ascii="宋体" w:hAnsi="宋体"/>
          <w:color w:val="000000"/>
          <w:sz w:val="24"/>
          <w:szCs w:val="24"/>
          <w:highlight w:val="none"/>
          <w:lang w:val="en-US" w:eastAsia="zh-CN"/>
        </w:rPr>
        <w:t xml:space="preserve">11</w:t>
      </w:r>
      <w:bookmarkStart w:id="55" w:name="_GoBack"/>
      <w:r/>
      <w:bookmarkEnd w:id="55"/>
      <w:r>
        <w:rPr>
          <w:rFonts w:hint="eastAsia" w:ascii="宋体" w:hAnsi="宋体"/>
          <w:color w:val="000000"/>
          <w:sz w:val="24"/>
          <w:szCs w:val="24"/>
          <w:highlight w:val="none"/>
        </w:rPr>
        <w:t xml:space="preserve">日9:00:00（北京时间）</w:t>
      </w:r>
      <w:r/>
    </w:p>
    <w:p>
      <w:pPr>
        <w:ind w:firstLine="480"/>
        <w:spacing w:line="500" w:lineRule="exact"/>
        <w:rPr>
          <w:rFonts w:ascii="宋体" w:hAnsi="宋体"/>
          <w:color w:val="000000"/>
          <w:highlight w:val="none"/>
        </w:rPr>
      </w:pPr>
      <w:r>
        <w:rPr>
          <w:rFonts w:hint="eastAsia" w:ascii="宋体" w:hAnsi="宋体"/>
          <w:color w:val="000000"/>
          <w:sz w:val="24"/>
          <w:szCs w:val="24"/>
          <w:highlight w:val="none"/>
        </w:rPr>
        <w:t xml:space="preserve">开标地点：“苏采云”政府采购交易系统网上开标大厅</w:t>
      </w:r>
      <w:r/>
    </w:p>
    <w:p>
      <w:pPr>
        <w:pStyle w:val="691"/>
        <w:spacing w:before="0" w:after="0" w:line="500" w:lineRule="exact"/>
        <w:rPr>
          <w:rFonts w:ascii="宋体" w:hAnsi="宋体" w:eastAsia="宋体"/>
          <w:bCs w:val="0"/>
          <w:color w:val="000000"/>
          <w:szCs w:val="22"/>
          <w:highlight w:val="none"/>
        </w:rPr>
      </w:pPr>
      <w:r>
        <w:rPr>
          <w:rFonts w:hint="eastAsia" w:ascii="宋体" w:hAnsi="宋体" w:eastAsia="宋体"/>
          <w:bCs w:val="0"/>
          <w:color w:val="000000"/>
          <w:szCs w:val="22"/>
          <w:highlight w:val="none"/>
        </w:rPr>
        <w:t xml:space="preserve">五、公告期限</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自本公告发布之日起5个工作日。</w:t>
      </w:r>
      <w:r/>
    </w:p>
    <w:p>
      <w:pPr>
        <w:pStyle w:val="691"/>
        <w:spacing w:before="0" w:after="0" w:line="500" w:lineRule="exact"/>
        <w:rPr>
          <w:rFonts w:ascii="宋体" w:hAnsi="宋体" w:eastAsia="宋体"/>
          <w:bCs w:val="0"/>
          <w:color w:val="000000"/>
          <w:szCs w:val="22"/>
          <w:highlight w:val="none"/>
        </w:rPr>
      </w:pPr>
      <w:r>
        <w:rPr>
          <w:rFonts w:hint="eastAsia" w:ascii="宋体" w:hAnsi="宋体" w:eastAsia="宋体"/>
          <w:bCs w:val="0"/>
          <w:color w:val="000000"/>
          <w:szCs w:val="22"/>
          <w:highlight w:val="none"/>
        </w:rPr>
        <w:t xml:space="preserve">六、其他补充事宜</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1.本次招标不收取投标保证金。</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2.本招标文件中斜体且有下划线部分为实质性要求和条件，投标人须逐条做出满足实质性要求和条件的响应，否则将按无效响应处理。</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4.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http://www.ccgp-jiangsu.gov.cn/jiangsu/zlxz/ee/ee3a4bc5a3454aa2b0d9312230633ce9.html</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请投标人按照《操作手册》要求获取招标文件，制作、递交（上传）电子投标文件，参加开标，澄清、说明或者补正。因投标人未按要求操作原因导致电子投标文件被拒绝、造成无效响应的，</w:t>
      </w:r>
      <w:r>
        <w:rPr>
          <w:rFonts w:hint="eastAsia" w:ascii="宋体" w:hAnsi="宋体" w:cs="Times New Roman"/>
          <w:color w:val="000000"/>
          <w:sz w:val="24"/>
          <w:szCs w:val="24"/>
        </w:rPr>
        <w:t xml:space="preserve">自行承担一切损失。</w:t>
      </w:r>
      <w:r/>
    </w:p>
    <w:p>
      <w:pPr>
        <w:pStyle w:val="691"/>
        <w:spacing w:before="0" w:after="0" w:line="500" w:lineRule="exact"/>
        <w:rPr>
          <w:rFonts w:ascii="宋体" w:hAnsi="宋体" w:eastAsia="宋体"/>
          <w:bCs w:val="0"/>
          <w:color w:val="000000"/>
          <w:szCs w:val="22"/>
        </w:rPr>
      </w:pPr>
      <w:r>
        <w:rPr>
          <w:rFonts w:hint="eastAsia" w:ascii="宋体" w:hAnsi="宋体" w:eastAsia="宋体"/>
          <w:bCs w:val="0"/>
          <w:color w:val="000000"/>
          <w:szCs w:val="22"/>
        </w:rPr>
        <w:t xml:space="preserve">七、对本次招标提出询问，请按以下方式联系</w:t>
      </w:r>
      <w:r/>
    </w:p>
    <w:p>
      <w:pPr>
        <w:ind w:firstLine="480"/>
        <w:spacing w:line="500" w:lineRule="atLeast"/>
        <w:rPr>
          <w:rFonts w:ascii="宋体" w:hAnsi="宋体" w:cs="宋体"/>
          <w:color w:val="000000"/>
          <w:sz w:val="24"/>
          <w:szCs w:val="24"/>
        </w:rPr>
      </w:pPr>
      <w:r>
        <w:rPr>
          <w:rFonts w:hint="eastAsia" w:ascii="宋体" w:hAnsi="宋体" w:cs="宋体"/>
          <w:color w:val="000000"/>
          <w:sz w:val="24"/>
          <w:szCs w:val="24"/>
        </w:rPr>
        <w:t xml:space="preserve">1.采购人信息</w:t>
      </w:r>
      <w:r/>
    </w:p>
    <w:p>
      <w:pPr>
        <w:ind w:firstLine="480"/>
        <w:spacing w:line="500" w:lineRule="atLeast"/>
        <w:rPr>
          <w:rFonts w:ascii="宋体" w:hAnsi="宋体" w:cs="宋体"/>
          <w:color w:val="000000"/>
          <w:sz w:val="24"/>
          <w:szCs w:val="24"/>
          <w:highlight w:val="none"/>
        </w:rPr>
      </w:pPr>
      <w:r>
        <w:rPr>
          <w:rFonts w:hint="eastAsia" w:ascii="宋体" w:hAnsi="宋体" w:cs="宋体"/>
          <w:color w:val="000000"/>
          <w:sz w:val="24"/>
          <w:szCs w:val="24"/>
          <w:highlight w:val="none"/>
        </w:rPr>
        <w:t xml:space="preserve">名    称：连云港市东海生态环境局</w:t>
      </w:r>
      <w:r/>
    </w:p>
    <w:p>
      <w:pPr>
        <w:ind w:firstLine="480"/>
        <w:spacing w:line="500" w:lineRule="atLeast"/>
        <w:rPr>
          <w:rFonts w:ascii="宋体" w:hAnsi="宋体" w:cs="宋体"/>
          <w:color w:val="000000"/>
          <w:sz w:val="24"/>
          <w:szCs w:val="24"/>
          <w:highlight w:val="none"/>
        </w:rPr>
      </w:pPr>
      <w:r>
        <w:rPr>
          <w:rFonts w:hint="eastAsia" w:ascii="宋体" w:hAnsi="宋体" w:cs="宋体"/>
          <w:color w:val="000000"/>
          <w:sz w:val="24"/>
          <w:szCs w:val="24"/>
          <w:highlight w:val="none"/>
        </w:rPr>
        <w:t xml:space="preserve">地    址：连云港市东海县牛山街道振兴北路</w:t>
      </w:r>
      <w:r/>
    </w:p>
    <w:p>
      <w:pPr>
        <w:ind w:firstLine="480"/>
        <w:spacing w:line="500" w:lineRule="atLeast"/>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联系方式：</w:t>
      </w:r>
      <w:r>
        <w:rPr>
          <w:rFonts w:hint="eastAsia" w:ascii="宋体" w:hAnsi="宋体" w:cs="宋体"/>
          <w:color w:val="000000"/>
          <w:sz w:val="24"/>
          <w:szCs w:val="24"/>
          <w:highlight w:val="none"/>
          <w:lang w:val="en-US" w:eastAsia="zh-CN"/>
        </w:rPr>
        <w:t xml:space="preserve">孙逊 15950790366</w:t>
      </w:r>
      <w:r/>
    </w:p>
    <w:p>
      <w:pPr>
        <w:ind w:firstLine="480"/>
        <w:spacing w:line="500" w:lineRule="atLeast"/>
        <w:rPr>
          <w:rFonts w:ascii="宋体" w:hAnsi="宋体" w:cs="宋体"/>
          <w:color w:val="000000"/>
          <w:sz w:val="24"/>
          <w:szCs w:val="24"/>
          <w:highlight w:val="none"/>
        </w:rPr>
      </w:pPr>
      <w:r>
        <w:rPr>
          <w:rFonts w:hint="eastAsia" w:ascii="宋体" w:hAnsi="宋体" w:cs="宋体"/>
          <w:color w:val="000000"/>
          <w:sz w:val="24"/>
          <w:szCs w:val="24"/>
          <w:highlight w:val="none"/>
        </w:rPr>
        <w:t xml:space="preserve">2.采购代理机构信息</w:t>
      </w:r>
      <w:r/>
    </w:p>
    <w:p>
      <w:pPr>
        <w:ind w:firstLine="480"/>
        <w:spacing w:line="500" w:lineRule="atLeast"/>
        <w:rPr>
          <w:rFonts w:ascii="宋体" w:hAnsi="宋体" w:cs="宋体"/>
          <w:color w:val="000000"/>
          <w:sz w:val="24"/>
          <w:szCs w:val="24"/>
          <w:highlight w:val="none"/>
        </w:rPr>
      </w:pPr>
      <w:r>
        <w:rPr>
          <w:rFonts w:hint="eastAsia" w:ascii="宋体" w:hAnsi="宋体" w:cs="宋体"/>
          <w:color w:val="000000"/>
          <w:sz w:val="24"/>
          <w:szCs w:val="24"/>
          <w:highlight w:val="none"/>
        </w:rPr>
        <w:t xml:space="preserve">名    称：中瀛国际工程管理有限公司</w:t>
      </w:r>
      <w:r/>
    </w:p>
    <w:p>
      <w:pPr>
        <w:ind w:firstLine="480"/>
        <w:spacing w:line="500" w:lineRule="atLeast"/>
        <w:rPr>
          <w:rFonts w:ascii="宋体" w:hAnsi="宋体" w:cs="宋体"/>
          <w:color w:val="000000"/>
          <w:sz w:val="24"/>
          <w:szCs w:val="24"/>
        </w:rPr>
      </w:pPr>
      <w:r>
        <w:rPr>
          <w:rFonts w:hint="eastAsia" w:ascii="宋体" w:hAnsi="宋体" w:cs="宋体"/>
          <w:color w:val="000000"/>
          <w:sz w:val="24"/>
          <w:szCs w:val="24"/>
          <w:highlight w:val="none"/>
        </w:rPr>
        <w:t xml:space="preserve">地    址：</w:t>
      </w:r>
      <w:r>
        <w:rPr>
          <w:rFonts w:hint="eastAsia" w:ascii="宋体" w:hAnsi="宋体" w:cs="宋体"/>
          <w:color w:val="000000"/>
          <w:sz w:val="24"/>
          <w:szCs w:val="28"/>
          <w:highlight w:val="none"/>
        </w:rPr>
        <w:t xml:space="preserve">连云港市海州区昌意路6号联东U谷连云港科技创新谷C1#02</w:t>
      </w:r>
      <w:r/>
    </w:p>
    <w:p>
      <w:pPr>
        <w:ind w:firstLine="480"/>
        <w:spacing w:line="500" w:lineRule="atLeast"/>
        <w:rPr>
          <w:rFonts w:ascii="宋体" w:hAnsi="宋体" w:cs="宋体"/>
          <w:color w:val="000000"/>
          <w:sz w:val="24"/>
          <w:szCs w:val="24"/>
        </w:rPr>
      </w:pPr>
      <w:r>
        <w:rPr>
          <w:rFonts w:hint="eastAsia" w:ascii="宋体" w:hAnsi="宋体" w:cs="宋体"/>
          <w:color w:val="000000"/>
          <w:sz w:val="24"/>
          <w:szCs w:val="24"/>
        </w:rPr>
        <w:t xml:space="preserve">联系</w:t>
      </w:r>
      <w:r>
        <w:rPr>
          <w:rFonts w:hint="eastAsia" w:ascii="宋体" w:hAnsi="宋体" w:cs="宋体"/>
          <w:color w:val="000000"/>
          <w:sz w:val="24"/>
          <w:szCs w:val="28"/>
        </w:rPr>
        <w:t xml:space="preserve">方式：田工 13861430698</w:t>
      </w:r>
      <w:r/>
    </w:p>
    <w:p>
      <w:pPr>
        <w:ind w:firstLine="480"/>
        <w:spacing w:line="500" w:lineRule="atLeast"/>
        <w:rPr>
          <w:rFonts w:ascii="宋体" w:hAnsi="宋体" w:cs="宋体"/>
          <w:color w:val="000000"/>
          <w:sz w:val="24"/>
          <w:szCs w:val="24"/>
        </w:rPr>
      </w:pPr>
      <w:r>
        <w:rPr>
          <w:rFonts w:hint="eastAsia" w:ascii="宋体" w:hAnsi="宋体" w:cs="宋体"/>
          <w:color w:val="000000"/>
          <w:sz w:val="24"/>
          <w:szCs w:val="24"/>
        </w:rPr>
        <w:t xml:space="preserve">3.项目联系方式</w:t>
      </w:r>
      <w:r/>
    </w:p>
    <w:p>
      <w:pPr>
        <w:ind w:firstLine="480"/>
        <w:spacing w:line="500" w:lineRule="atLeast"/>
        <w:rPr>
          <w:rFonts w:ascii="宋体" w:hAnsi="宋体" w:cs="宋体"/>
          <w:color w:val="000000"/>
          <w:sz w:val="24"/>
          <w:szCs w:val="24"/>
        </w:rPr>
      </w:pPr>
      <w:r>
        <w:rPr>
          <w:rFonts w:hint="eastAsia" w:ascii="宋体" w:hAnsi="宋体" w:cs="宋体"/>
          <w:color w:val="000000"/>
          <w:sz w:val="24"/>
          <w:szCs w:val="24"/>
        </w:rPr>
        <w:t xml:space="preserve">项目联系人：田工</w:t>
      </w:r>
      <w:r/>
    </w:p>
    <w:p>
      <w:pPr>
        <w:ind w:firstLine="480"/>
        <w:spacing w:line="500" w:lineRule="atLeast"/>
        <w:rPr>
          <w:rFonts w:ascii="宋体" w:hAnsi="宋体" w:cs="宋体"/>
          <w:color w:val="000000"/>
          <w:sz w:val="24"/>
          <w:szCs w:val="24"/>
        </w:rPr>
      </w:pPr>
      <w:r>
        <w:rPr>
          <w:rFonts w:hint="eastAsia" w:ascii="宋体" w:hAnsi="宋体" w:cs="宋体"/>
          <w:color w:val="000000"/>
          <w:sz w:val="24"/>
          <w:szCs w:val="24"/>
        </w:rPr>
        <w:t xml:space="preserve">电      话：13861430698</w:t>
      </w:r>
      <w:r/>
    </w:p>
    <w:p>
      <w:pPr>
        <w:ind w:firstLine="480"/>
        <w:spacing w:line="500" w:lineRule="atLeast"/>
        <w:rPr>
          <w:rFonts w:ascii="宋体" w:hAnsi="宋体" w:cs="宋体"/>
          <w:color w:val="000000"/>
          <w:sz w:val="24"/>
          <w:szCs w:val="24"/>
        </w:rPr>
      </w:pPr>
      <w:r>
        <w:rPr>
          <w:rFonts w:ascii="宋体" w:hAnsi="宋体" w:cs="宋体"/>
          <w:color w:val="000000"/>
          <w:sz w:val="24"/>
          <w:szCs w:val="24"/>
        </w:rPr>
      </w:r>
      <w:r/>
    </w:p>
    <w:p>
      <w:pPr>
        <w:ind w:firstLine="480"/>
        <w:spacing w:line="500" w:lineRule="exact"/>
        <w:rPr>
          <w:color w:val="000000"/>
          <w:sz w:val="24"/>
          <w:szCs w:val="24"/>
        </w:rPr>
      </w:pPr>
      <w:r>
        <w:rPr>
          <w:color w:val="000000"/>
          <w:sz w:val="24"/>
          <w:szCs w:val="24"/>
        </w:rPr>
      </w:r>
      <w:r/>
    </w:p>
    <w:p>
      <w:pPr>
        <w:rPr>
          <w:rFonts w:ascii="黑体" w:hAnsi="黑体" w:eastAsia="黑体"/>
          <w:color w:val="000000"/>
        </w:rPr>
      </w:pPr>
      <w:r/>
      <w:bookmarkStart w:id="1" w:name="_Toc15273"/>
      <w:r>
        <w:rPr>
          <w:rFonts w:ascii="黑体" w:hAnsi="黑体" w:eastAsia="黑体"/>
          <w:color w:val="000000"/>
        </w:rPr>
        <w:br w:type="page" w:clear="all"/>
      </w:r>
      <w:r/>
    </w:p>
    <w:p>
      <w:pPr>
        <w:pStyle w:val="690"/>
        <w:jc w:val="center"/>
        <w:spacing w:line="360" w:lineRule="auto"/>
        <w:rPr>
          <w:rFonts w:ascii="黑体" w:hAnsi="黑体" w:eastAsia="黑体"/>
          <w:b w:val="0"/>
          <w:color w:val="000000"/>
        </w:rPr>
      </w:pPr>
      <w:r>
        <w:rPr>
          <w:rFonts w:hint="eastAsia" w:ascii="黑体" w:hAnsi="黑体" w:eastAsia="黑体"/>
          <w:b w:val="0"/>
          <w:color w:val="000000"/>
        </w:rPr>
        <w:t xml:space="preserve">第二章  投标人须知</w:t>
      </w:r>
      <w:bookmarkEnd w:id="1"/>
      <w:r/>
      <w:r/>
    </w:p>
    <w:p>
      <w:pPr>
        <w:pStyle w:val="691"/>
        <w:spacing w:before="0" w:after="0" w:line="500" w:lineRule="exact"/>
        <w:rPr>
          <w:rFonts w:ascii="宋体" w:hAnsi="宋体" w:eastAsia="宋体"/>
          <w:color w:val="000000"/>
        </w:rPr>
      </w:pPr>
      <w:r>
        <w:rPr>
          <w:rFonts w:hint="eastAsia" w:ascii="宋体" w:hAnsi="宋体" w:eastAsia="宋体"/>
          <w:color w:val="000000"/>
        </w:rPr>
        <w:t xml:space="preserve">一、总则</w:t>
      </w:r>
      <w:r/>
    </w:p>
    <w:p>
      <w:pPr>
        <w:ind w:firstLine="482"/>
        <w:spacing w:line="500" w:lineRule="exact"/>
        <w:rPr>
          <w:rFonts w:ascii="宋体" w:hAnsi="宋体"/>
          <w:b/>
          <w:color w:val="000000"/>
          <w:sz w:val="24"/>
        </w:rPr>
      </w:pPr>
      <w:r>
        <w:rPr>
          <w:rFonts w:hint="eastAsia" w:ascii="宋体" w:hAnsi="宋体"/>
          <w:b/>
          <w:color w:val="000000"/>
          <w:sz w:val="24"/>
        </w:rPr>
        <w:t xml:space="preserve">1.招标方式</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1.1 本次招标采取公开招标方式，本招标文件仅适用于招标公告中所述项目。</w:t>
      </w:r>
      <w:r/>
    </w:p>
    <w:p>
      <w:pPr>
        <w:ind w:firstLine="482"/>
        <w:spacing w:line="500" w:lineRule="exact"/>
        <w:rPr>
          <w:rFonts w:ascii="宋体" w:hAnsi="宋体"/>
          <w:b/>
          <w:color w:val="000000"/>
          <w:sz w:val="24"/>
        </w:rPr>
      </w:pPr>
      <w:r>
        <w:rPr>
          <w:rFonts w:hint="eastAsia" w:ascii="宋体" w:hAnsi="宋体"/>
          <w:b/>
          <w:color w:val="000000"/>
          <w:sz w:val="24"/>
        </w:rPr>
        <w:t xml:space="preserve">2.合格的投标人</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2.1 满足招标公告中供应商的资格要求的规定。</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2.3满足本招标文件全部实质性要求和条件的规定。</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2.4 符合上述条件的投标人应承担投标及履约过程应承担的全部责任与义务。</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2.5单位负责人为同一人或者存在直接控股、管理关系的不同供应商，不得参加同一合同项下的政府采购活动。</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2.6除单一来源采购项目外，为采购项目提供整体设计、规范编制或者项目管理、监理、检测等服务的供应商，不得再参加该采购项目的其他采购活动。</w:t>
      </w:r>
      <w:r/>
    </w:p>
    <w:p>
      <w:pPr>
        <w:ind w:firstLine="482"/>
        <w:spacing w:line="500" w:lineRule="exact"/>
        <w:rPr>
          <w:rFonts w:ascii="宋体" w:hAnsi="宋体"/>
          <w:b/>
          <w:color w:val="000000"/>
          <w:sz w:val="24"/>
          <w:highlight w:val="none"/>
        </w:rPr>
      </w:pPr>
      <w:r>
        <w:rPr>
          <w:rFonts w:hint="eastAsia" w:ascii="宋体" w:hAnsi="宋体"/>
          <w:b/>
          <w:color w:val="000000"/>
          <w:sz w:val="24"/>
        </w:rPr>
        <w:t xml:space="preserve">3</w:t>
      </w:r>
      <w:r>
        <w:rPr>
          <w:rFonts w:hint="eastAsia" w:ascii="宋体" w:hAnsi="宋体"/>
          <w:b/>
          <w:color w:val="000000"/>
          <w:sz w:val="24"/>
          <w:highlight w:val="none"/>
        </w:rPr>
        <w:t xml:space="preserve">.适用法律</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3.1本次招标及由此产生的合同受中华人民共和国有关的法律法规制约和保护。</w:t>
      </w:r>
      <w:r/>
    </w:p>
    <w:p>
      <w:pPr>
        <w:ind w:firstLine="482"/>
        <w:spacing w:line="500" w:lineRule="exact"/>
        <w:rPr>
          <w:rFonts w:ascii="宋体" w:hAnsi="宋体"/>
          <w:b/>
          <w:color w:val="000000"/>
          <w:sz w:val="24"/>
          <w:highlight w:val="none"/>
        </w:rPr>
      </w:pPr>
      <w:r>
        <w:rPr>
          <w:rFonts w:hint="eastAsia" w:ascii="宋体" w:hAnsi="宋体"/>
          <w:b/>
          <w:color w:val="000000"/>
          <w:sz w:val="24"/>
          <w:highlight w:val="none"/>
        </w:rPr>
        <w:t xml:space="preserve">4.投标费用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4.1投标人应自行承担所有与参与投标有关的费用，无论投标过程中的做法和结果如何，采购人和中瀛国际工程管理有限公司（以下简称采购代理机构）在任何情况下均无义务和责任承担这些费用。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4.2本项目招标代理费按8500元计取，由采购人支付。</w:t>
      </w:r>
      <w:r>
        <w:rPr>
          <w:sz w:val="21"/>
        </w:rPr>
      </w:r>
      <w:r/>
    </w:p>
    <w:p>
      <w:pPr>
        <w:ind w:firstLine="482"/>
        <w:spacing w:line="500" w:lineRule="exact"/>
        <w:rPr>
          <w:rFonts w:ascii="宋体" w:hAnsi="宋体"/>
          <w:b/>
          <w:color w:val="000000"/>
          <w:sz w:val="24"/>
          <w:highlight w:val="none"/>
        </w:rPr>
      </w:pPr>
      <w:r>
        <w:rPr>
          <w:rFonts w:hint="eastAsia" w:ascii="宋体" w:hAnsi="宋体"/>
          <w:b/>
          <w:color w:val="000000"/>
          <w:sz w:val="24"/>
          <w:highlight w:val="none"/>
        </w:rPr>
        <w:t xml:space="preserve">5.招标文件的约束力</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5.1 投标人一旦参加本项目采购活动，即被认为接受了本招标文件的规定和约束。</w:t>
      </w:r>
      <w:r/>
    </w:p>
    <w:p>
      <w:pPr>
        <w:pStyle w:val="691"/>
        <w:spacing w:before="0" w:after="0" w:line="500" w:lineRule="exact"/>
        <w:rPr>
          <w:rFonts w:ascii="宋体" w:hAnsi="宋体" w:eastAsia="宋体"/>
          <w:color w:val="000000"/>
          <w:highlight w:val="none"/>
        </w:rPr>
      </w:pPr>
      <w:r>
        <w:rPr>
          <w:rFonts w:hint="eastAsia" w:ascii="宋体" w:hAnsi="宋体" w:eastAsia="宋体"/>
          <w:color w:val="000000"/>
          <w:highlight w:val="none"/>
        </w:rPr>
        <w:t xml:space="preserve">二、招标文件</w:t>
      </w:r>
      <w:r/>
    </w:p>
    <w:p>
      <w:pPr>
        <w:ind w:firstLine="482"/>
        <w:spacing w:line="500" w:lineRule="exact"/>
        <w:rPr>
          <w:rFonts w:ascii="宋体" w:hAnsi="宋体"/>
          <w:b/>
          <w:color w:val="000000"/>
          <w:sz w:val="24"/>
        </w:rPr>
      </w:pPr>
      <w:r>
        <w:rPr>
          <w:rFonts w:hint="eastAsia" w:ascii="宋体" w:hAnsi="宋体"/>
          <w:b/>
          <w:color w:val="000000"/>
          <w:sz w:val="24"/>
        </w:rPr>
        <w:t xml:space="preserve">6.招标文件构成</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6.1招标文件由以下部分组成：</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（1）投标邀请</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（2）投标人须知</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（3）合同文本</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（4）采购需求</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（5）评标方法与评标标准</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（6）投标文件格式</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请仔细检查招标文件是否齐全，如有缺漏请立即与采购代理机构联系解决。</w:t>
      </w:r>
      <w:r/>
    </w:p>
    <w:p>
      <w:pPr>
        <w:ind w:firstLine="482"/>
        <w:spacing w:line="500" w:lineRule="exact"/>
        <w:rPr>
          <w:rFonts w:ascii="宋体" w:hAnsi="宋体"/>
          <w:b/>
          <w:color w:val="000000"/>
          <w:sz w:val="24"/>
        </w:rPr>
      </w:pPr>
      <w:r>
        <w:rPr>
          <w:rFonts w:hint="eastAsia" w:ascii="宋体" w:hAnsi="宋体"/>
          <w:b/>
          <w:color w:val="000000"/>
          <w:sz w:val="24"/>
        </w:rPr>
        <w:t xml:space="preserve">7.招标文件的澄清</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7.1任何要求对招标文件进行澄清的投标人，应在投标截止期十日前按招标公告中的通讯地址，以书面形式通知采购人或者采购代理机构。</w:t>
      </w:r>
      <w:r/>
    </w:p>
    <w:p>
      <w:pPr>
        <w:ind w:firstLine="482"/>
        <w:spacing w:line="500" w:lineRule="exact"/>
        <w:rPr>
          <w:rFonts w:ascii="宋体" w:hAnsi="宋体"/>
          <w:b/>
          <w:color w:val="000000"/>
          <w:sz w:val="24"/>
        </w:rPr>
      </w:pPr>
      <w:r>
        <w:rPr>
          <w:rFonts w:hint="eastAsia" w:ascii="宋体" w:hAnsi="宋体"/>
          <w:b/>
          <w:color w:val="000000"/>
          <w:sz w:val="24"/>
        </w:rPr>
        <w:t xml:space="preserve">8.招标文件的修改</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8.1在投标截止时间前，采购人可以对招标文件进行修改。</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8.2采购人有权按照法定的要求推迟投标截止日期和开标日期。</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8.3招标文件的修改将在江苏政府采购网公布，补充文件将作为招标文件的组成部分，并对投标人具有约束力。</w:t>
      </w:r>
      <w:r/>
    </w:p>
    <w:p>
      <w:pPr>
        <w:pStyle w:val="691"/>
        <w:spacing w:before="0" w:after="0" w:line="500" w:lineRule="exact"/>
        <w:rPr>
          <w:rFonts w:ascii="宋体" w:hAnsi="宋体" w:eastAsia="宋体"/>
          <w:color w:val="000000"/>
        </w:rPr>
      </w:pPr>
      <w:r>
        <w:rPr>
          <w:rFonts w:hint="eastAsia" w:ascii="宋体" w:hAnsi="宋体" w:eastAsia="宋体"/>
          <w:color w:val="000000"/>
        </w:rPr>
        <w:t xml:space="preserve">三、投标文件的编制</w:t>
      </w:r>
      <w:r/>
    </w:p>
    <w:p>
      <w:pPr>
        <w:ind w:firstLine="482"/>
        <w:spacing w:line="500" w:lineRule="exact"/>
        <w:rPr>
          <w:rFonts w:ascii="宋体" w:hAnsi="宋体"/>
          <w:b/>
          <w:color w:val="000000"/>
          <w:sz w:val="24"/>
        </w:rPr>
      </w:pPr>
      <w:r>
        <w:rPr>
          <w:rFonts w:hint="eastAsia" w:ascii="宋体" w:hAnsi="宋体"/>
          <w:b/>
          <w:color w:val="000000"/>
          <w:sz w:val="24"/>
        </w:rPr>
        <w:t xml:space="preserve">9.投标文件编写注意事项</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482"/>
        <w:spacing w:line="500" w:lineRule="exact"/>
        <w:rPr>
          <w:rFonts w:ascii="宋体" w:hAnsi="宋体"/>
          <w:b/>
          <w:color w:val="000000"/>
          <w:sz w:val="24"/>
        </w:rPr>
      </w:pPr>
      <w:r>
        <w:rPr>
          <w:rFonts w:hint="eastAsia" w:ascii="宋体" w:hAnsi="宋体"/>
          <w:b/>
          <w:color w:val="000000"/>
          <w:sz w:val="24"/>
        </w:rPr>
        <w:t xml:space="preserve">10.投标文件的语言及度量衡单位</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10.1 除专用术语外，投标人提交的投标文件以及投标人与采购人和采购代理机构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10.2 除技术性能另有规定外，投标文件所使用的度量衡单位，均须采用国家法定计量单位。</w:t>
      </w:r>
      <w:r/>
    </w:p>
    <w:p>
      <w:pPr>
        <w:ind w:firstLine="482"/>
        <w:spacing w:line="500" w:lineRule="exact"/>
        <w:rPr>
          <w:rFonts w:ascii="宋体" w:hAnsi="宋体"/>
          <w:b/>
          <w:color w:val="000000"/>
          <w:sz w:val="24"/>
        </w:rPr>
      </w:pPr>
      <w:r>
        <w:rPr>
          <w:rFonts w:hint="eastAsia" w:ascii="宋体" w:hAnsi="宋体"/>
          <w:b/>
          <w:color w:val="000000"/>
          <w:sz w:val="24"/>
        </w:rPr>
        <w:t xml:space="preserve">11.投标文件构成</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11.1投标人编写的投标文件应包括资格证明文件、符合性证明文件、投标分项报价表、商务要求响应及偏离表、其他证明文件、投标函、开标一览表等部分。</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11.2如投标文件制作工具中格式和内容与江苏政府采购网发布的招标文件不一致，请以江苏政府采购网发布的招标文件为准。</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11.3 特别提醒投标人，混乱的编排导致投标文件被误读或评标委员会（以下简称评委会）查找不到有效文件是投标人的风险。</w:t>
      </w:r>
      <w:r/>
    </w:p>
    <w:p>
      <w:pPr>
        <w:ind w:firstLine="482"/>
        <w:spacing w:line="500" w:lineRule="exact"/>
        <w:rPr>
          <w:rFonts w:ascii="宋体" w:hAnsi="宋体"/>
          <w:b/>
          <w:color w:val="000000"/>
          <w:sz w:val="24"/>
        </w:rPr>
      </w:pPr>
      <w:r>
        <w:rPr>
          <w:rFonts w:hint="eastAsia" w:ascii="宋体" w:hAnsi="宋体"/>
          <w:b/>
          <w:color w:val="000000"/>
          <w:sz w:val="24"/>
        </w:rPr>
        <w:t xml:space="preserve">12.证明投标人及投标标的符合招标文件规定的文件</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12.1投标人应按照招标文件要求提交证明文件，证明其及投标标的符合招标文件规定。</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12.2招标文件对证明文件无明确形式要求的，证明文件可以以文字资料、图纸和数据等形式提交。</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12.3 投标人委托代理时应当提交授权委托书，请按招标文件第六章给定格式及要求填写并附法定代表人（单位负责人）与委托代理人身份证明。</w:t>
      </w:r>
      <w:r/>
    </w:p>
    <w:p>
      <w:pPr>
        <w:ind w:firstLine="482"/>
        <w:spacing w:line="500" w:lineRule="exact"/>
        <w:rPr>
          <w:rFonts w:ascii="宋体" w:hAnsi="宋体"/>
          <w:b/>
          <w:color w:val="000000"/>
          <w:sz w:val="24"/>
        </w:rPr>
      </w:pPr>
      <w:r>
        <w:rPr>
          <w:rFonts w:hint="eastAsia" w:ascii="宋体" w:hAnsi="宋体"/>
          <w:b/>
          <w:color w:val="000000"/>
          <w:sz w:val="24"/>
        </w:rPr>
        <w:t xml:space="preserve">13.投标分项报价表</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13.1投标人应根据投标报价要求在投标分项报价表中列明各项投标单价、总价等，未全部列示的作无效响应处理。</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13.2投标货币。投标文件中的单价和总价无特殊规定的采用人民币报价，以元为单位标注。招标文件中另有规定的按规定执行。</w:t>
      </w:r>
      <w:r/>
    </w:p>
    <w:p>
      <w:pPr>
        <w:ind w:firstLine="482"/>
        <w:spacing w:line="500" w:lineRule="exact"/>
        <w:rPr>
          <w:rFonts w:ascii="宋体" w:hAnsi="宋体"/>
          <w:b/>
          <w:color w:val="000000"/>
          <w:sz w:val="24"/>
        </w:rPr>
      </w:pPr>
      <w:r>
        <w:rPr>
          <w:rFonts w:hint="eastAsia" w:ascii="宋体" w:hAnsi="宋体"/>
          <w:b/>
          <w:color w:val="000000"/>
          <w:sz w:val="24"/>
        </w:rPr>
        <w:t xml:space="preserve">14.技术要求响应及偏离表、商务要求响应及偏离表</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14.2投标人可在投标文件中提供认为需要的其他技术文件或说明。</w:t>
      </w:r>
      <w:r/>
    </w:p>
    <w:p>
      <w:pPr>
        <w:ind w:firstLine="482"/>
        <w:spacing w:line="500" w:lineRule="exact"/>
        <w:rPr>
          <w:rFonts w:ascii="宋体" w:hAnsi="宋体"/>
          <w:b/>
          <w:color w:val="000000"/>
          <w:sz w:val="24"/>
        </w:rPr>
      </w:pPr>
      <w:r>
        <w:rPr>
          <w:rFonts w:hint="eastAsia" w:ascii="宋体" w:hAnsi="宋体"/>
          <w:b/>
          <w:color w:val="000000"/>
          <w:sz w:val="24"/>
        </w:rPr>
        <w:t xml:space="preserve">15.服务承诺、培训计划、人员安排及其他</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15.1投标人需根据招标文件要求提供有关售后服务的管理制度，售后服务机构的分布情况，售后服务人员的数量、素质、技术水平及售后服务的反应能力等。</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15.2投标人需根据招标文件要求提供培训计划、人员安排等。</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15.3投标人需根据招标文件要求提供所投标的的主要组成部分、功能设计、实现思路及关键技术等。</w:t>
      </w:r>
      <w:r/>
    </w:p>
    <w:p>
      <w:pPr>
        <w:ind w:firstLine="482"/>
        <w:spacing w:line="500" w:lineRule="exact"/>
        <w:rPr>
          <w:rFonts w:ascii="宋体" w:hAnsi="宋体"/>
          <w:b/>
          <w:color w:val="000000"/>
          <w:sz w:val="24"/>
        </w:rPr>
      </w:pPr>
      <w:r>
        <w:rPr>
          <w:rFonts w:hint="eastAsia" w:ascii="宋体" w:hAnsi="宋体"/>
          <w:b/>
          <w:color w:val="000000"/>
          <w:sz w:val="24"/>
        </w:rPr>
        <w:t xml:space="preserve">16.投标函和开标一览表</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16.1投标人应按照招标文件中提供的格式完整、正确填写投标函、开标一览表。</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16.2对于采用货币报价的项目，开标一览表中的投标总报价应与投标分项报价表中的投标总报价一致，如不一致，不做无效投标处理，但评标时以开标一览表中价格为准。</w:t>
      </w:r>
      <w:r/>
    </w:p>
    <w:p>
      <w:pPr>
        <w:ind w:firstLine="482"/>
        <w:spacing w:line="500" w:lineRule="exact"/>
        <w:rPr>
          <w:rFonts w:ascii="宋体" w:hAnsi="宋体"/>
          <w:b/>
          <w:color w:val="000000"/>
          <w:sz w:val="24"/>
        </w:rPr>
      </w:pPr>
      <w:r>
        <w:rPr>
          <w:rFonts w:hint="eastAsia" w:ascii="宋体" w:hAnsi="宋体"/>
          <w:b/>
          <w:color w:val="000000"/>
          <w:sz w:val="24"/>
        </w:rPr>
        <w:t xml:space="preserve">17.投标有效期</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17.1投标有效期为开标之日后六十（60）天。投标有效期比规定短的将被视为未实质性响应招标文件而予以拒绝。</w:t>
      </w:r>
      <w:r/>
    </w:p>
    <w:p>
      <w:pPr>
        <w:ind w:firstLine="480"/>
        <w:jc w:val="left"/>
        <w:spacing w:line="500" w:lineRule="exact"/>
        <w:rPr>
          <w:color w:val="000000"/>
          <w:sz w:val="24"/>
          <w:szCs w:val="24"/>
        </w:rPr>
      </w:pPr>
      <w:r>
        <w:rPr>
          <w:rFonts w:hint="eastAsia" w:ascii="宋体" w:hAnsi="宋体"/>
          <w:color w:val="000000"/>
          <w:sz w:val="24"/>
          <w:szCs w:val="24"/>
        </w:rPr>
        <w:t xml:space="preserve">17.2</w:t>
      </w:r>
      <w:r>
        <w:rPr>
          <w:rFonts w:hint="eastAsia"/>
          <w:color w:val="000000"/>
          <w:sz w:val="24"/>
          <w:szCs w:val="24"/>
        </w:rPr>
        <w:t xml:space="preserve">在特殊情况下（法律法规另有规定的除外），经监管部门批准后，采购人于原投标有效期满之前可向投标人提出延长投标有效期的要求。这种要求与答复均应采用书面形式。投标人可以拒绝这一要求而放弃投标，同意延长投标有效期的投标人既不能要求也不允许修改其投标文件。受投标有效期约束的所有权利与义务均延长至新的有效期。</w:t>
      </w:r>
      <w:r/>
    </w:p>
    <w:p>
      <w:pPr>
        <w:pStyle w:val="691"/>
        <w:spacing w:before="0" w:after="0" w:line="500" w:lineRule="exact"/>
        <w:rPr>
          <w:rFonts w:ascii="宋体" w:hAnsi="宋体" w:eastAsia="宋体"/>
          <w:color w:val="000000"/>
        </w:rPr>
      </w:pPr>
      <w:r>
        <w:rPr>
          <w:rFonts w:hint="eastAsia" w:ascii="宋体" w:hAnsi="宋体" w:eastAsia="宋体"/>
          <w:color w:val="000000"/>
        </w:rPr>
        <w:t xml:space="preserve">四、投标文件的递交</w:t>
      </w:r>
      <w:r/>
    </w:p>
    <w:p>
      <w:pPr>
        <w:ind w:firstLine="482"/>
        <w:spacing w:line="500" w:lineRule="exact"/>
        <w:rPr>
          <w:rFonts w:ascii="宋体" w:hAnsi="宋体"/>
          <w:b/>
          <w:color w:val="000000"/>
          <w:sz w:val="24"/>
        </w:rPr>
      </w:pPr>
      <w:r>
        <w:rPr>
          <w:rFonts w:hint="eastAsia" w:ascii="宋体" w:hAnsi="宋体"/>
          <w:b/>
          <w:color w:val="000000"/>
          <w:sz w:val="24"/>
        </w:rPr>
        <w:t xml:space="preserve">18.电子投标文件的递交</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18.1投标人应当按照《操作手册》规定，在投标截止时间前制作并递交（上传）电子投标文件。</w:t>
      </w:r>
      <w:r/>
    </w:p>
    <w:p>
      <w:pPr>
        <w:ind w:firstLine="482"/>
        <w:spacing w:line="500" w:lineRule="exact"/>
        <w:rPr>
          <w:rFonts w:ascii="宋体" w:hAnsi="宋体"/>
          <w:b/>
          <w:color w:val="000000"/>
          <w:sz w:val="24"/>
        </w:rPr>
      </w:pPr>
      <w:r>
        <w:rPr>
          <w:rFonts w:hint="eastAsia" w:ascii="宋体" w:hAnsi="宋体"/>
          <w:b/>
          <w:color w:val="000000"/>
          <w:sz w:val="24"/>
        </w:rPr>
        <w:t xml:space="preserve">19.投标截止时间</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19.1投标人递交（上传）电子投标文件的时间不得迟于招标公告中规定的投标截止时间。</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投标人应充分考虑到计算机硬件、软件及网络环境等风险因素，如因投标人自身原因造成电子投标文件递交（上传）不成功的按照本招标文件第二章第27.1条规定做无效投标处理。</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19.2采购人可以按照规定，通过修改招标文件酌情延长投标截止日期，在此情况下，投标人的所有权利和义务以及投标人受制的截止日期均应以延长后新的截止日期为准。</w:t>
      </w:r>
      <w:r/>
    </w:p>
    <w:p>
      <w:pPr>
        <w:ind w:firstLine="482"/>
        <w:spacing w:line="500" w:lineRule="exact"/>
        <w:rPr>
          <w:rFonts w:ascii="宋体" w:hAnsi="宋体"/>
          <w:b/>
          <w:color w:val="000000"/>
          <w:sz w:val="24"/>
        </w:rPr>
      </w:pPr>
      <w:r>
        <w:rPr>
          <w:rFonts w:hint="eastAsia" w:ascii="宋体" w:hAnsi="宋体"/>
          <w:b/>
          <w:color w:val="000000"/>
          <w:sz w:val="24"/>
        </w:rPr>
        <w:t xml:space="preserve">20.投标文件的拒收</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20.1 采购人拒绝接收在其规定的投标截止时间后递交（上传）的任何投标文件。</w:t>
      </w:r>
      <w:r/>
    </w:p>
    <w:p>
      <w:pPr>
        <w:ind w:firstLine="482"/>
        <w:spacing w:line="500" w:lineRule="exact"/>
        <w:rPr>
          <w:rFonts w:ascii="宋体" w:hAnsi="宋体"/>
          <w:b/>
          <w:color w:val="000000"/>
          <w:sz w:val="24"/>
        </w:rPr>
      </w:pPr>
      <w:r>
        <w:rPr>
          <w:rFonts w:hint="eastAsia" w:ascii="宋体" w:hAnsi="宋体"/>
          <w:b/>
          <w:color w:val="000000"/>
          <w:sz w:val="24"/>
        </w:rPr>
        <w:t xml:space="preserve">21.投标文件的撤回和修改</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21.1投标文件的撤回</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21.1.1投标人可在投标截止时间前，撤回其电子投标文件，具体操作方法见《操作手册》。</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21.1.2投标人撤回电子投标文件的，则认为其不再参与本项目投标活动。</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21.2投标文件的修改</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21.2.1投标人可在投标截止时间前，对其电子投标文件进行修改，具体操作方法见《操作手册》。</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21.2.2在投标截止时间之后，投标人不得对其电子投标文件做任何修改。</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21.3在投标截止时间至招标文件中规定的投标有效期满之间的这段时间内，投标人不得撤回其投标。</w:t>
      </w:r>
      <w:r/>
    </w:p>
    <w:p>
      <w:pPr>
        <w:pStyle w:val="691"/>
        <w:spacing w:before="0" w:after="0" w:line="500" w:lineRule="exact"/>
        <w:rPr>
          <w:rFonts w:ascii="宋体" w:hAnsi="宋体" w:eastAsia="宋体"/>
          <w:color w:val="000000"/>
        </w:rPr>
      </w:pPr>
      <w:r>
        <w:rPr>
          <w:rFonts w:hint="eastAsia" w:ascii="宋体" w:hAnsi="宋体" w:eastAsia="宋体"/>
          <w:color w:val="000000"/>
        </w:rPr>
        <w:t xml:space="preserve">五、开标与评标</w:t>
      </w:r>
      <w:r/>
    </w:p>
    <w:p>
      <w:pPr>
        <w:ind w:firstLine="482"/>
        <w:spacing w:line="500" w:lineRule="exact"/>
        <w:rPr>
          <w:rFonts w:ascii="宋体" w:hAnsi="宋体"/>
          <w:b/>
          <w:color w:val="000000"/>
          <w:sz w:val="24"/>
        </w:rPr>
      </w:pPr>
      <w:r>
        <w:rPr>
          <w:rFonts w:hint="eastAsia" w:ascii="宋体" w:hAnsi="宋体"/>
          <w:b/>
          <w:color w:val="000000"/>
          <w:sz w:val="24"/>
        </w:rPr>
        <w:t xml:space="preserve">22.开标</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22.1采购代理机构将在招标公告中规定的时间和地点组织公开开标。投标人应当按时参加开标活动，并在“苏采云”系统规定的时间内对投标文件进行解密。</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22.2开标仪式由采购代理机构组织。“苏采云”系统将自动对项目进行开标，并宣布各投标人名称和投标价格。</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22.3投标人在开标过程中涉及到的投标文件解密、开标结果确认等工作，应当按照《操作手册》规定执行。</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22.4投标人如果对开标过程和开标记录有疑义，应当按照《操作手册》规定提出，未在“苏采云”系统《开标记录表》宣布后5分钟内提出的，视同认可开标结果。</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22.5 投标人未参加开标的，视同认可开标结果。</w:t>
      </w:r>
      <w:r/>
    </w:p>
    <w:p>
      <w:pPr>
        <w:ind w:firstLine="482"/>
        <w:spacing w:line="500" w:lineRule="exact"/>
        <w:rPr>
          <w:rFonts w:ascii="宋体" w:hAnsi="宋体"/>
          <w:b/>
          <w:color w:val="000000"/>
          <w:sz w:val="24"/>
        </w:rPr>
      </w:pPr>
      <w:r>
        <w:rPr>
          <w:rFonts w:hint="eastAsia" w:ascii="宋体" w:hAnsi="宋体"/>
          <w:b/>
          <w:color w:val="000000"/>
          <w:sz w:val="24"/>
        </w:rPr>
        <w:t xml:space="preserve">23.评标委员会</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23.1开标后，采购人将立即组织评委会进行评标。</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23.2评委会由采购人代表和有关技术、经济等方面的评审专家组成，且人员构成符合政府采购有关规定。</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23.3评委会按照采购文件规定的评审程序、评审方法和评审标准进行独立评审并确定中标候选人。</w:t>
      </w:r>
      <w:r/>
    </w:p>
    <w:p>
      <w:pPr>
        <w:ind w:firstLine="482"/>
        <w:spacing w:line="500" w:lineRule="exact"/>
        <w:rPr>
          <w:rFonts w:ascii="宋体" w:hAnsi="宋体"/>
          <w:b/>
          <w:color w:val="000000"/>
          <w:sz w:val="24"/>
        </w:rPr>
      </w:pPr>
      <w:r>
        <w:rPr>
          <w:rFonts w:hint="eastAsia" w:ascii="宋体" w:hAnsi="宋体"/>
          <w:b/>
          <w:color w:val="000000"/>
          <w:sz w:val="24"/>
        </w:rPr>
        <w:t xml:space="preserve">24.评标过程的保密与公正</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24.1凡是与审查、澄清、评价和比较投标的有关资料以及授标建议等，采购人、评审专家、采购代理机构均不得向投标人或与评标无关的其他人员透露。</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24.2在评标过程中，投标人不得以任何行为影响评标过程，否则其投标文件将被作为无效投标文件。</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24.3采购人、采购代理机构和评委会不向未中标的投标人解释未中标原因，也不公布评标过程中的相关细节。</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24.4采用综合评分法的项目，未中标的投标人可于中标结果公告期限届满之日起通过“苏采云”系统查看自己的评审得分及排序情况。</w:t>
      </w:r>
      <w:r/>
    </w:p>
    <w:p>
      <w:pPr>
        <w:ind w:firstLine="482"/>
        <w:spacing w:line="500" w:lineRule="exact"/>
        <w:rPr>
          <w:rFonts w:ascii="宋体" w:hAnsi="宋体"/>
          <w:b/>
          <w:color w:val="000000"/>
          <w:sz w:val="24"/>
        </w:rPr>
      </w:pPr>
      <w:r>
        <w:rPr>
          <w:rFonts w:hint="eastAsia" w:ascii="宋体" w:hAnsi="宋体"/>
          <w:b/>
          <w:color w:val="000000"/>
          <w:sz w:val="24"/>
        </w:rPr>
        <w:t xml:space="preserve">25.投标文件的澄清</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25.1评标期间，评委会对投标文件中含义不明确、同类问题表述不一致或者有明显文字和计算错误的内容 ，有权要求投标人作出必要的澄清、说明或者补正。</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评委会并非对每个投标人都做澄清、说明或者补正要求。</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25.2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25.3接到评委会澄清、说明或者补正要求的投标人如未按规定响应，其风险由投标人自行承担。</w:t>
      </w:r>
      <w:r/>
    </w:p>
    <w:p>
      <w:pPr>
        <w:ind w:firstLine="482"/>
        <w:spacing w:line="500" w:lineRule="exact"/>
        <w:rPr>
          <w:rFonts w:ascii="宋体" w:hAnsi="宋体"/>
          <w:b/>
          <w:color w:val="000000"/>
          <w:sz w:val="24"/>
        </w:rPr>
      </w:pPr>
      <w:r>
        <w:rPr>
          <w:rFonts w:hint="eastAsia" w:ascii="宋体" w:hAnsi="宋体"/>
          <w:b/>
          <w:color w:val="000000"/>
          <w:sz w:val="24"/>
        </w:rPr>
        <w:t xml:space="preserve">26.对投标文件的审查</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26.1 投标文件审查分为资格审查和符合性审查。</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26.1.1资格审查：采购人依据法律法规和招标文件的规定，对投标文件中的资格证明文件进行审查。资格审查的结论，采购人以书面形式向评委会进行反馈。</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采购人在进行资格审查的同时，将在信用中国网站（www.creditchina.gov.cn）、中国政府采购网（www.ccgp.gov.cn）查询投标人的信用记录，以确定投标人是否具备投标资格，查询结果留存并归档。</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26.1.2符合性审查：评委会依据招标文件的规定，从投标文件的有效性、完整性和对招标文件的响应程度进行审查，以确定其是否实质性响应了招标文件要求。实质性响应是与招标文件要求的全部实质性要求和条件相符，且与招标文件的其余非实质性要求和条件没有重大偏离。</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未通过资格审查或符合性审查的投标人，将通过“苏采云”系统中告知其未通过的原因，评审结束后，将不再告知。</w:t>
      </w:r>
      <w:r/>
    </w:p>
    <w:p>
      <w:pPr>
        <w:ind w:firstLine="480"/>
        <w:jc w:val="left"/>
        <w:spacing w:line="500" w:lineRule="exact"/>
        <w:rPr>
          <w:rFonts w:ascii="宋体" w:hAnsi="宋体"/>
          <w:color w:val="000000"/>
          <w:sz w:val="24"/>
          <w:szCs w:val="24"/>
        </w:rPr>
      </w:pPr>
      <w:r>
        <w:rPr>
          <w:rFonts w:hint="eastAsia" w:ascii="宋体" w:hAnsi="宋体"/>
          <w:color w:val="000000"/>
          <w:sz w:val="24"/>
          <w:szCs w:val="24"/>
        </w:rPr>
        <w:t xml:space="preserve">26.2 在符合性审查阶段，评委会将审查每份投标文件是否实质性响应了招标文件的要求。实质性响应的投标应当是与招标文件要求的全部条款、条件和规格相符，没有重大偏离或保留的投标。</w:t>
      </w:r>
      <w:r/>
    </w:p>
    <w:p>
      <w:pPr>
        <w:ind w:firstLine="480"/>
        <w:jc w:val="left"/>
        <w:spacing w:line="500" w:lineRule="exact"/>
        <w:rPr>
          <w:rFonts w:ascii="宋体" w:hAnsi="宋体"/>
          <w:color w:val="000000"/>
          <w:sz w:val="24"/>
          <w:szCs w:val="24"/>
        </w:rPr>
      </w:pPr>
      <w:r>
        <w:rPr>
          <w:rFonts w:hint="eastAsia" w:ascii="宋体" w:hAnsi="宋体"/>
          <w:color w:val="000000"/>
          <w:sz w:val="24"/>
          <w:szCs w:val="24"/>
        </w:rPr>
        <w:t xml:space="preserve">所谓重大偏离或保留是指与招标文件规定的实质性要求存在负偏离，或者在实质上与招标文件不一致，</w:t>
      </w:r>
      <w:r>
        <w:rPr>
          <w:rFonts w:hint="eastAsia" w:cs="Times New Roman"/>
          <w:color w:val="000000"/>
          <w:sz w:val="24"/>
          <w:szCs w:val="24"/>
        </w:rPr>
        <w:t xml:space="preserve">包含但不限于设备质量、技术规格、售后服务和履约能力等材料明显不能满足招标文件要求，有可能影响产品质量或者不能诚信履约，</w:t>
      </w:r>
      <w:r>
        <w:rPr>
          <w:rFonts w:hint="eastAsia" w:ascii="宋体" w:hAnsi="宋体"/>
          <w:color w:val="000000"/>
          <w:sz w:val="24"/>
          <w:szCs w:val="24"/>
        </w:rPr>
        <w:t xml:space="preserve">限制了合同中买方和采购人的权利或投标人的义务，纠正这些偏离或保留将会对其他实质性响应要求的投标人的竞争地位产生不公正的影响。</w:t>
      </w:r>
      <w:r/>
    </w:p>
    <w:p>
      <w:pPr>
        <w:ind w:firstLine="480"/>
        <w:jc w:val="left"/>
        <w:spacing w:line="500" w:lineRule="exact"/>
        <w:rPr>
          <w:rFonts w:ascii="宋体" w:hAnsi="宋体"/>
          <w:color w:val="000000"/>
          <w:sz w:val="24"/>
          <w:szCs w:val="24"/>
        </w:rPr>
      </w:pPr>
      <w:r>
        <w:rPr>
          <w:rFonts w:hint="eastAsia" w:ascii="宋体" w:hAnsi="宋体"/>
          <w:color w:val="000000"/>
          <w:sz w:val="24"/>
          <w:szCs w:val="24"/>
        </w:rPr>
        <w:t xml:space="preserve">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26.3如果投标文件实质上没有响应招标文件的要求，评委会将予以拒绝，投标人不得通过修改或撤销不符合要求的偏离而使其投标成为实质性响应的投标。</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26.4 评委会将对确定为实质性响应的投标进行进一步审核，看其是否有计算上或累加上的算术错误，修正错误的原则如下：</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（1）投标文件中开标一览表内容与投标文件中相应内容不一致的，以开标一览表为准。</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（2）大写金额和小写金额不一致的，以大写金额为准。</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（3）单价金额小数点或者百分比有明显错位的，以开标一览表的总价为准，并修改单价。</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（4）总价金额与按单价汇总金额不一致的，以单价金额计算结果为准。</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同时出现两种以上错误的，按照前款规定的顺序修正。</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非单一产品采购项目，招标文件中将载明核心产品。多家投标人提供的核心产品品牌相同的，按前两款规定处理。</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26.7投标人在开、评标全过程中应保持通讯畅通，及时登录“苏采云”系统查阅、答复相关信息，并安排专人与采购代理机构及评委会联系。</w:t>
      </w:r>
      <w:r/>
    </w:p>
    <w:p>
      <w:pPr>
        <w:ind w:firstLine="482"/>
        <w:spacing w:line="500" w:lineRule="exact"/>
        <w:rPr>
          <w:rFonts w:ascii="宋体" w:hAnsi="宋体"/>
          <w:b/>
          <w:color w:val="000000"/>
          <w:sz w:val="24"/>
        </w:rPr>
      </w:pPr>
      <w:r>
        <w:rPr>
          <w:rFonts w:hint="eastAsia" w:ascii="宋体" w:hAnsi="宋体"/>
          <w:b/>
          <w:color w:val="000000"/>
          <w:sz w:val="24"/>
        </w:rPr>
        <w:t xml:space="preserve">27.无效投标条款和废标条款</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27.1无效投标条款</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（1）投标人未按照招标文件要求递交（上传）电子投标文件的。</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（2）投标人在“苏采云”系统规定的时间内未成功解密电子投标文件的。</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（3）投标人不具备招标文件中规定的资格要求的。</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（5）投标人提交两个（含两个）以上不同的投标报价的。</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（6）投标人的报价超过了采购预算或者最高限价的。</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7）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（8）不符合招标文件中规定的实质性要求和条件的（本招标文件中斜体且有下划线部分为实质性要求和条件）。</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（10）投标人未通过符合性审查的。</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（11）投标文件含有采购人不能接受的附加条件的。</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（12）投标文件未按照招标文件要求加盖公章（CA电子公章）的。</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（13）其他法律、法规及本招标文件规定的属于无效投标的情形。</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27.2 有下列情形之一的，视为投标人串通投标，投标无效：</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（1）不同投标人的投标文件由同一单位或者个人编制。</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（2）不同投标人委托同一单位或者个人办理投标事宜。</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（3）不同投标人的投标文件载明的项目管理成员或者联系人员为同一人。</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（4）不同投标人的投标文件异常一致或者投标报价呈规律性差异。</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27.3废标条款</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（1）因“苏采云”系统系统故障原因造成开标不成功的。</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（2）评委会认定招标文件存在歧义、重大缺陷导致评审工作无法进行的。</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（3）符合专业条件的供应商或者对招标文件作实质响应的供应商不足三家的。</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（4）出现影响采购公正的违法、违规行为的。</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（5）因重大变故，采购任务取消的。</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 出现投标截止时间结束后参加投标的供应商或者在评标期间对招标文件做出实质响应的供应商不足三家情况的，按照政府采购相关规定执行。</w:t>
      </w:r>
      <w:r/>
    </w:p>
    <w:p>
      <w:pPr>
        <w:ind w:firstLine="480"/>
        <w:spacing w:line="500" w:lineRule="exact"/>
        <w:rPr>
          <w:rFonts w:hint="eastAsia" w:ascii="宋体" w:hAnsi="宋体"/>
          <w:b/>
          <w:bCs/>
          <w:color w:val="000000"/>
          <w:sz w:val="24"/>
          <w:szCs w:val="24"/>
        </w:rPr>
      </w:pPr>
      <w:r>
        <w:rPr>
          <w:rFonts w:hint="eastAsia" w:ascii="宋体" w:hAnsi="宋体"/>
          <w:b/>
          <w:bCs/>
          <w:color w:val="000000"/>
          <w:sz w:val="24"/>
          <w:szCs w:val="24"/>
        </w:rPr>
        <w:t xml:space="preserve">27.</w:t>
      </w:r>
      <w:r>
        <w:rPr>
          <w:rFonts w:hint="eastAsia" w:ascii="宋体" w:hAnsi="宋体"/>
          <w:b/>
          <w:bCs/>
          <w:color w:val="000000"/>
          <w:sz w:val="24"/>
          <w:szCs w:val="24"/>
          <w:lang w:val="en-US" w:eastAsia="zh-CN"/>
        </w:rPr>
        <w:t xml:space="preserve">5</w:t>
      </w:r>
      <w:r>
        <w:rPr>
          <w:rFonts w:hint="eastAsia" w:ascii="宋体" w:hAnsi="宋体"/>
          <w:b/>
          <w:bCs/>
          <w:color w:val="000000"/>
          <w:sz w:val="24"/>
          <w:szCs w:val="24"/>
        </w:rPr>
        <w:t xml:space="preserve">政府采购异常低价审查：</w:t>
      </w:r>
      <w:r/>
    </w:p>
    <w:p>
      <w:pPr>
        <w:pStyle w:val="691"/>
        <w:ind w:left="0" w:firstLine="422"/>
        <w:spacing w:before="0" w:after="0" w:line="500" w:lineRule="exact"/>
        <w:rPr>
          <w:rFonts w:hint="eastAsia" w:ascii="宋体" w:hAnsi="宋体" w:eastAsia="宋体" w:cs="Arial"/>
          <w:b/>
          <w:bCs/>
          <w:color w:val="000000"/>
          <w:sz w:val="24"/>
          <w:szCs w:val="24"/>
          <w:lang w:val="en-US" w:eastAsia="zh-CN" w:bidi="ar-SA"/>
        </w:rPr>
      </w:pPr>
      <w:r>
        <w:rPr>
          <w:rFonts w:hint="eastAsia" w:ascii="宋体" w:hAnsi="宋体" w:eastAsia="宋体" w:cs="Arial"/>
          <w:b/>
          <w:bCs/>
          <w:color w:val="000000"/>
          <w:sz w:val="24"/>
          <w:szCs w:val="24"/>
          <w:lang w:val="en-US" w:eastAsia="zh-CN" w:bidi="ar-SA"/>
        </w:rPr>
        <w:t xml:space="preserve">（1）政府采购评审中出现下列情形之一的，评审委员会应当启动异常低价投标（响应）审查程序：</w:t>
      </w:r>
      <w:r/>
    </w:p>
    <w:p>
      <w:pPr>
        <w:pStyle w:val="691"/>
        <w:ind w:left="0" w:firstLine="422"/>
        <w:spacing w:before="0" w:after="0" w:line="500" w:lineRule="exact"/>
        <w:rPr>
          <w:rFonts w:hint="eastAsia" w:ascii="宋体" w:hAnsi="宋体" w:eastAsia="宋体" w:cs="Arial"/>
          <w:b/>
          <w:bCs/>
          <w:color w:val="000000"/>
          <w:sz w:val="24"/>
          <w:szCs w:val="24"/>
          <w:lang w:val="en-US" w:eastAsia="zh-CN" w:bidi="ar-SA"/>
        </w:rPr>
      </w:pPr>
      <w:r>
        <w:rPr>
          <w:rFonts w:hint="eastAsia" w:ascii="宋体" w:hAnsi="宋体" w:eastAsia="宋体" w:cs="Arial"/>
          <w:b/>
          <w:bCs/>
          <w:color w:val="000000"/>
          <w:sz w:val="24"/>
          <w:szCs w:val="24"/>
          <w:lang w:val="en-US" w:eastAsia="zh-CN" w:bidi="ar-SA"/>
        </w:rPr>
        <w:t xml:space="preserve">1.投标（响应）报价低于全部通过符合性审查供应商投标（响应）报价平均值50%的，即投标（响应）报价&lt;全部通过符合性审查供应商投标（响应）报价平均值×50%；</w:t>
      </w:r>
      <w:r/>
    </w:p>
    <w:p>
      <w:pPr>
        <w:pStyle w:val="691"/>
        <w:ind w:left="0" w:firstLine="422"/>
        <w:spacing w:before="0" w:after="0" w:line="500" w:lineRule="exact"/>
        <w:rPr>
          <w:rFonts w:hint="eastAsia" w:ascii="宋体" w:hAnsi="宋体" w:eastAsia="宋体" w:cs="Arial"/>
          <w:b/>
          <w:bCs/>
          <w:color w:val="000000"/>
          <w:sz w:val="24"/>
          <w:szCs w:val="24"/>
          <w:lang w:val="en-US" w:eastAsia="zh-CN" w:bidi="ar-SA"/>
        </w:rPr>
      </w:pPr>
      <w:r>
        <w:rPr>
          <w:rFonts w:hint="eastAsia" w:ascii="宋体" w:hAnsi="宋体" w:eastAsia="宋体" w:cs="Arial"/>
          <w:b/>
          <w:bCs/>
          <w:color w:val="000000"/>
          <w:sz w:val="24"/>
          <w:szCs w:val="24"/>
          <w:lang w:val="en-US" w:eastAsia="zh-CN" w:bidi="ar-SA"/>
        </w:rPr>
        <w:t xml:space="preserve">2.投标（响应）报价低于通过符合性审查的次低报价供应商投标（响应）报价50%的，即投标（响应）报价&lt;通过符合性审查的次低报价供应商投标（响应）报价×50%；</w:t>
      </w:r>
      <w:r/>
    </w:p>
    <w:p>
      <w:pPr>
        <w:pStyle w:val="691"/>
        <w:ind w:left="0" w:firstLine="422"/>
        <w:spacing w:before="0" w:after="0" w:line="500" w:lineRule="exact"/>
        <w:rPr>
          <w:rFonts w:hint="eastAsia" w:ascii="宋体" w:hAnsi="宋体" w:eastAsia="宋体" w:cs="Arial"/>
          <w:b/>
          <w:bCs/>
          <w:color w:val="000000"/>
          <w:sz w:val="24"/>
          <w:szCs w:val="24"/>
          <w:lang w:val="en-US" w:eastAsia="zh-CN" w:bidi="ar-SA"/>
        </w:rPr>
      </w:pPr>
      <w:r>
        <w:rPr>
          <w:rFonts w:hint="eastAsia" w:ascii="宋体" w:hAnsi="宋体" w:eastAsia="宋体" w:cs="Arial"/>
          <w:b/>
          <w:bCs/>
          <w:color w:val="000000"/>
          <w:sz w:val="24"/>
          <w:szCs w:val="24"/>
          <w:lang w:val="en-US" w:eastAsia="zh-CN" w:bidi="ar-SA"/>
        </w:rPr>
        <w:t xml:space="preserve">3.投标（响应）报价低于采购项目最高限价45%的，即投标（响应）报价&lt;采购项目最高限价×45%；</w:t>
      </w:r>
      <w:r/>
    </w:p>
    <w:p>
      <w:pPr>
        <w:pStyle w:val="691"/>
        <w:ind w:left="0" w:firstLine="422"/>
        <w:spacing w:before="0" w:after="0" w:line="500" w:lineRule="exact"/>
        <w:rPr>
          <w:rFonts w:hint="eastAsia" w:ascii="宋体" w:hAnsi="宋体" w:eastAsia="宋体" w:cs="Arial"/>
          <w:b/>
          <w:bCs/>
          <w:color w:val="000000"/>
          <w:sz w:val="24"/>
          <w:szCs w:val="24"/>
          <w:lang w:val="en-US" w:eastAsia="zh-CN" w:bidi="ar-SA"/>
        </w:rPr>
      </w:pPr>
      <w:r>
        <w:rPr>
          <w:rFonts w:hint="eastAsia" w:ascii="宋体" w:hAnsi="宋体" w:eastAsia="宋体" w:cs="Arial"/>
          <w:b/>
          <w:bCs/>
          <w:color w:val="000000"/>
          <w:sz w:val="24"/>
          <w:szCs w:val="24"/>
          <w:lang w:val="en-US" w:eastAsia="zh-CN" w:bidi="ar-SA"/>
        </w:rPr>
        <w:t xml:space="preserve">4.评审委员会基于专业判断，认为供应商报价过低，有可能影响产品质量或者不能诚信履约的其他情形。</w:t>
      </w:r>
      <w:r/>
    </w:p>
    <w:p>
      <w:pPr>
        <w:pStyle w:val="691"/>
        <w:ind w:left="0" w:firstLine="422"/>
        <w:spacing w:before="0" w:after="0" w:line="500" w:lineRule="exact"/>
        <w:rPr>
          <w:rFonts w:hint="eastAsia" w:ascii="宋体" w:hAnsi="宋体" w:eastAsia="宋体" w:cs="Arial"/>
          <w:b/>
          <w:bCs/>
          <w:color w:val="000000"/>
          <w:sz w:val="24"/>
          <w:szCs w:val="24"/>
          <w:lang w:val="en-US" w:eastAsia="zh-CN" w:bidi="ar-SA"/>
        </w:rPr>
      </w:pPr>
      <w:r>
        <w:rPr>
          <w:rFonts w:hint="eastAsia" w:ascii="宋体" w:hAnsi="宋体" w:eastAsia="宋体" w:cs="Arial"/>
          <w:b/>
          <w:bCs/>
          <w:color w:val="000000"/>
          <w:sz w:val="24"/>
          <w:szCs w:val="24"/>
          <w:lang w:val="en-US" w:eastAsia="zh-CN" w:bidi="ar-SA"/>
        </w:rPr>
        <w:t xml:space="preserve">采购人可以结合具体项目实际情况，提高上述第1项至第3项中启动异常低价投标（响应）审查的数值标准，但是最高不得超过65%。</w:t>
      </w:r>
      <w:r/>
    </w:p>
    <w:p>
      <w:pPr>
        <w:pStyle w:val="691"/>
        <w:ind w:left="0" w:firstLine="422"/>
        <w:spacing w:before="0" w:after="0" w:line="500" w:lineRule="exact"/>
        <w:rPr>
          <w:rFonts w:hint="eastAsia" w:ascii="宋体" w:hAnsi="宋体" w:eastAsia="宋体" w:cs="Arial"/>
          <w:b/>
          <w:bCs/>
          <w:color w:val="000000"/>
          <w:sz w:val="24"/>
          <w:szCs w:val="24"/>
          <w:lang w:val="en-US" w:eastAsia="zh-CN" w:bidi="ar-SA"/>
        </w:rPr>
      </w:pPr>
      <w:r>
        <w:rPr>
          <w:rFonts w:hint="eastAsia" w:ascii="宋体" w:hAnsi="宋体" w:eastAsia="宋体" w:cs="Arial"/>
          <w:b/>
          <w:bCs/>
          <w:color w:val="000000"/>
          <w:sz w:val="24"/>
          <w:szCs w:val="24"/>
          <w:lang w:val="en-US" w:eastAsia="zh-CN" w:bidi="ar-SA"/>
        </w:rPr>
        <w:t xml:space="preserve">相关法律法规对供应商报价有规定的，从其规定。</w:t>
      </w:r>
      <w:r/>
    </w:p>
    <w:p>
      <w:pPr>
        <w:pStyle w:val="691"/>
        <w:numPr>
          <w:ilvl w:val="0"/>
          <w:numId w:val="1"/>
        </w:numPr>
        <w:ind w:left="0" w:firstLine="422"/>
        <w:spacing w:before="0" w:after="0" w:line="500" w:lineRule="exact"/>
        <w:rPr>
          <w:rFonts w:hint="eastAsia" w:ascii="宋体" w:hAnsi="宋体" w:eastAsia="宋体" w:cs="Arial"/>
          <w:b/>
          <w:bCs/>
          <w:color w:val="000000"/>
          <w:sz w:val="24"/>
          <w:szCs w:val="24"/>
          <w:lang w:val="en-US" w:eastAsia="zh-CN" w:bidi="ar-SA"/>
        </w:rPr>
      </w:pPr>
      <w:r>
        <w:rPr>
          <w:rFonts w:hint="eastAsia" w:ascii="宋体" w:hAnsi="宋体" w:eastAsia="宋体" w:cs="Arial"/>
          <w:b/>
          <w:bCs/>
          <w:color w:val="000000"/>
          <w:sz w:val="24"/>
          <w:szCs w:val="24"/>
          <w:lang w:val="en-US" w:eastAsia="zh-CN" w:bidi="ar-SA"/>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691"/>
        <w:numPr>
          <w:ilvl w:val="0"/>
          <w:numId w:val="0"/>
        </w:numPr>
        <w:spacing w:before="0" w:after="0" w:line="500" w:lineRule="exact"/>
        <w:rPr>
          <w:rFonts w:ascii="宋体" w:hAnsi="宋体" w:eastAsia="宋体"/>
          <w:color w:val="000000"/>
        </w:rPr>
      </w:pPr>
      <w:r>
        <w:rPr>
          <w:rFonts w:hint="eastAsia" w:ascii="宋体" w:hAnsi="宋体" w:eastAsia="宋体"/>
          <w:color w:val="000000"/>
        </w:rPr>
        <w:t xml:space="preserve">六、定标</w:t>
      </w:r>
      <w:r/>
    </w:p>
    <w:p>
      <w:pPr>
        <w:ind w:firstLine="482"/>
        <w:spacing w:line="500" w:lineRule="exact"/>
        <w:rPr>
          <w:rFonts w:ascii="宋体" w:hAnsi="宋体"/>
          <w:b/>
          <w:color w:val="000000"/>
          <w:sz w:val="24"/>
        </w:rPr>
      </w:pPr>
      <w:r>
        <w:rPr>
          <w:rFonts w:hint="eastAsia" w:ascii="宋体" w:hAnsi="宋体"/>
          <w:b/>
          <w:color w:val="000000"/>
          <w:sz w:val="24"/>
        </w:rPr>
        <w:t xml:space="preserve">28.确定中标单位</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28.1中标候选人的选取原则和数量详见招标文件第五章规定。 </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28.2采购人授权评委会根据推荐的中标候选人确定中标候选人第一名为中标人。</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28.3采购代理机构将在江苏政府采购网发布中标公告，公告期限为1个工作日。</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28.4若有充分证据证明，中标人存在下列情况之一的，一经查实，将被取消中标资格：</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（1）提供虚假材料谋取中标、成交的。</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（2）采取不正当手段诋毁、排挤其他供应商的。</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（3）与采购人、其他供应商或者采购代理机构恶意串通的。</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（4）向采购人、采购代理机构行贿或者提供其他不正当利益的。</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（5）在招标采购过程中与采购人进行协商谈判的。</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（6）属于本文件规定的无效条件，但在评标过程中又未被评委会发现的。</w:t>
      </w:r>
      <w:r/>
    </w:p>
    <w:p>
      <w:pPr>
        <w:ind w:firstLine="482"/>
        <w:spacing w:line="500" w:lineRule="exact"/>
        <w:rPr>
          <w:rFonts w:ascii="宋体" w:hAnsi="宋体"/>
          <w:b/>
          <w:color w:val="000000"/>
          <w:sz w:val="24"/>
        </w:rPr>
      </w:pPr>
      <w:r>
        <w:rPr>
          <w:rFonts w:hint="eastAsia" w:ascii="宋体" w:hAnsi="宋体"/>
          <w:b/>
          <w:color w:val="000000"/>
          <w:sz w:val="24"/>
        </w:rPr>
        <w:t xml:space="preserve">29.中标通知书</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29.1 中标结果确定后，采购代理机构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29.2 中标通知书将是合同的一个组成部分。对采购人和中标人均具有法律效力。中标通知书发出后，采购人改变中标结果的，或者中标人放弃中标项目的，应当依法承担法律责任。</w:t>
      </w:r>
      <w:r/>
    </w:p>
    <w:p>
      <w:pPr>
        <w:ind w:firstLine="480"/>
        <w:spacing w:line="500" w:lineRule="exact"/>
        <w:rPr>
          <w:rFonts w:ascii="宋体" w:hAnsi="宋体"/>
          <w:b/>
          <w:bCs/>
          <w:color w:val="000000"/>
          <w:sz w:val="24"/>
          <w:szCs w:val="24"/>
        </w:rPr>
      </w:pPr>
      <w:r>
        <w:rPr>
          <w:rFonts w:hint="eastAsia" w:ascii="宋体" w:hAnsi="宋体"/>
          <w:b/>
          <w:bCs/>
          <w:color w:val="000000"/>
          <w:sz w:val="24"/>
          <w:szCs w:val="24"/>
        </w:rPr>
        <w:t xml:space="preserve">29.3 中标人在中标后七个工作日内，需向采购代理机构提供肆份与电子投标文件一致的纸质打印胶装投标文件，封面、骑缝需加盖公章。</w:t>
      </w:r>
      <w:r/>
    </w:p>
    <w:p>
      <w:pPr>
        <w:pStyle w:val="691"/>
        <w:spacing w:before="0" w:after="0" w:line="500" w:lineRule="exact"/>
        <w:rPr>
          <w:rFonts w:ascii="宋体" w:hAnsi="宋体" w:eastAsia="宋体"/>
          <w:color w:val="000000"/>
        </w:rPr>
      </w:pPr>
      <w:r>
        <w:rPr>
          <w:rFonts w:hint="eastAsia" w:ascii="宋体" w:hAnsi="宋体" w:eastAsia="宋体"/>
          <w:color w:val="000000"/>
        </w:rPr>
        <w:t xml:space="preserve">七、履约保证金及授予合同</w:t>
      </w:r>
      <w:r/>
    </w:p>
    <w:p>
      <w:pPr>
        <w:ind w:firstLine="482"/>
        <w:spacing w:line="500" w:lineRule="exact"/>
        <w:rPr>
          <w:rFonts w:ascii="宋体" w:hAnsi="宋体"/>
          <w:b/>
          <w:color w:val="000000"/>
          <w:sz w:val="24"/>
        </w:rPr>
      </w:pPr>
      <w:r>
        <w:rPr>
          <w:rFonts w:hint="eastAsia" w:ascii="宋体" w:hAnsi="宋体"/>
          <w:b/>
          <w:color w:val="000000"/>
          <w:sz w:val="24"/>
        </w:rPr>
        <w:t xml:space="preserve">30.履约保证金（本项目不适用）</w:t>
      </w:r>
      <w:r/>
    </w:p>
    <w:p>
      <w:pPr>
        <w:ind w:firstLine="480"/>
        <w:spacing w:line="500" w:lineRule="exact"/>
        <w:rPr>
          <w:rFonts w:ascii="宋体" w:hAnsi="宋体"/>
          <w:b/>
          <w:color w:val="000000"/>
          <w:sz w:val="24"/>
          <w:szCs w:val="24"/>
        </w:rPr>
      </w:pPr>
      <w:r>
        <w:rPr>
          <w:rFonts w:hint="eastAsia" w:ascii="宋体" w:hAnsi="宋体"/>
          <w:color w:val="000000"/>
          <w:sz w:val="24"/>
          <w:szCs w:val="24"/>
        </w:rPr>
        <w:t xml:space="preserve">30.1履约保证金的数额不得超过政府采购合同金额的10%。中标人应当以支票、汇票、本票或者金融机构、担保机构出具的保函等非现金形式提交。</w:t>
      </w:r>
      <w:r>
        <w:rPr>
          <w:rFonts w:hint="eastAsia" w:ascii="宋体" w:hAnsi="宋体"/>
          <w:b/>
          <w:color w:val="000000"/>
          <w:sz w:val="24"/>
          <w:szCs w:val="24"/>
        </w:rPr>
        <w:t xml:space="preserve">中标人可自愿使用履约保函（保险）代替交纳履约保证金，详情请见《关于在全省政府采购领域推行电子履约保函（保险）的通知》（苏财购〔2023〕150号）规定。</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30.2 中标人违约的，采购人将按照合同约定扣除其全部或部分履约保证金。如中标人违约给采购人造成的损失超过履约保证金的，应当依法赔偿超过部分的损失。</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30.3 履约保证金自合同生效之日起至合同约定的中标人主要义务履行完毕止，采购人应当按合同约定及时退还履约保证金。</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30.4 逾期退还履约保证金的采购人承担违约责任，按照中国人民银行同期贷款基准利率向中标人支付超期资金占用费。</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30.5 本项目履约保证金要求详见招标文件第四章 采购需求。</w:t>
      </w:r>
      <w:r/>
    </w:p>
    <w:p>
      <w:pPr>
        <w:ind w:firstLine="482"/>
        <w:spacing w:line="500" w:lineRule="exact"/>
        <w:rPr>
          <w:rFonts w:ascii="宋体" w:hAnsi="宋体"/>
          <w:b/>
          <w:color w:val="000000"/>
          <w:sz w:val="24"/>
        </w:rPr>
      </w:pPr>
      <w:r>
        <w:rPr>
          <w:rFonts w:hint="eastAsia" w:ascii="宋体" w:hAnsi="宋体"/>
          <w:b/>
          <w:color w:val="000000"/>
          <w:sz w:val="24"/>
        </w:rPr>
        <w:t xml:space="preserve">31.签订合同</w:t>
      </w:r>
      <w:r/>
    </w:p>
    <w:p>
      <w:pPr>
        <w:ind w:firstLine="480"/>
        <w:spacing w:line="500" w:lineRule="exact"/>
        <w:rPr>
          <w:rFonts w:ascii="宋体" w:hAnsi="宋体"/>
          <w:color w:val="000000"/>
          <w:sz w:val="24"/>
        </w:rPr>
      </w:pPr>
      <w:r>
        <w:rPr>
          <w:rFonts w:hint="eastAsia" w:ascii="宋体" w:hAnsi="宋体"/>
          <w:color w:val="000000"/>
          <w:sz w:val="24"/>
        </w:rPr>
        <w:t xml:space="preserve">31.1 中标人应当在中标通知书发出之日起三十日内，按照招标文件和中标人投标文件的规定，与采购人签订政府采购合同。</w:t>
      </w:r>
      <w:r/>
    </w:p>
    <w:p>
      <w:pPr>
        <w:ind w:firstLine="480"/>
        <w:spacing w:line="500" w:lineRule="exact"/>
        <w:rPr>
          <w:rFonts w:ascii="宋体" w:hAnsi="宋体"/>
          <w:color w:val="000000"/>
          <w:sz w:val="24"/>
        </w:rPr>
      </w:pPr>
      <w:r>
        <w:rPr>
          <w:rFonts w:hint="eastAsia" w:ascii="宋体" w:hAnsi="宋体"/>
          <w:color w:val="000000"/>
          <w:sz w:val="24"/>
        </w:rPr>
        <w:t xml:space="preserve">31.2 招标文件、中标人的投标文件及招标过程中有关澄清、承诺等文件均应作为合同附件。</w:t>
      </w:r>
      <w:r/>
    </w:p>
    <w:p>
      <w:pPr>
        <w:ind w:firstLine="480"/>
        <w:spacing w:line="500" w:lineRule="exact"/>
        <w:rPr>
          <w:rFonts w:ascii="宋体" w:hAnsi="宋体"/>
          <w:color w:val="000000"/>
          <w:sz w:val="24"/>
        </w:rPr>
      </w:pPr>
      <w:r>
        <w:rPr>
          <w:rFonts w:hint="eastAsia" w:ascii="宋体" w:hAnsi="宋体"/>
          <w:color w:val="000000"/>
          <w:sz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ind w:firstLine="482"/>
        <w:spacing w:line="500" w:lineRule="exact"/>
        <w:rPr>
          <w:rFonts w:ascii="宋体" w:hAnsi="宋体"/>
          <w:b/>
          <w:color w:val="000000"/>
          <w:sz w:val="24"/>
        </w:rPr>
      </w:pPr>
      <w:r>
        <w:rPr>
          <w:rFonts w:hint="eastAsia" w:ascii="宋体" w:hAnsi="宋体"/>
          <w:b/>
          <w:color w:val="000000"/>
          <w:sz w:val="24"/>
        </w:rPr>
        <w:t xml:space="preserve">32.合同标的的追加</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31.1政府采购合同履行中，采购人需追加与合同标的相同的服务（包含与服务相关的货物）的，在不改变合同其他条款的前提下，可以与中标人协商签订补充合同，但所有补充合同的采购金额不超过原合同金额10%。</w:t>
      </w:r>
      <w:r/>
    </w:p>
    <w:p>
      <w:pPr>
        <w:ind w:firstLine="482"/>
        <w:spacing w:line="500" w:lineRule="exact"/>
        <w:rPr>
          <w:rFonts w:ascii="宋体" w:hAnsi="宋体"/>
          <w:b/>
          <w:color w:val="000000"/>
          <w:sz w:val="24"/>
        </w:rPr>
      </w:pPr>
      <w:r>
        <w:rPr>
          <w:rFonts w:hint="eastAsia" w:ascii="宋体" w:hAnsi="宋体"/>
          <w:b/>
          <w:color w:val="000000"/>
          <w:sz w:val="24"/>
        </w:rPr>
        <w:t xml:space="preserve">33.政府采购履约资金扶持政策</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32.1 中标人可凭政府采购合同办理融资贷款，详情请见江苏政府采购网“政采贷”专栏。</w:t>
      </w:r>
      <w:r/>
    </w:p>
    <w:p>
      <w:pPr>
        <w:pStyle w:val="691"/>
        <w:spacing w:before="0" w:after="0" w:line="500" w:lineRule="exact"/>
        <w:rPr>
          <w:rFonts w:ascii="宋体" w:hAnsi="宋体" w:eastAsia="宋体"/>
          <w:color w:val="000000"/>
        </w:rPr>
      </w:pPr>
      <w:r>
        <w:rPr>
          <w:rFonts w:hint="eastAsia" w:ascii="宋体" w:hAnsi="宋体" w:eastAsia="宋体"/>
          <w:color w:val="000000"/>
        </w:rPr>
        <w:t xml:space="preserve">八、询问与质疑</w:t>
      </w:r>
      <w:r/>
    </w:p>
    <w:p>
      <w:pPr>
        <w:ind w:firstLine="482"/>
        <w:spacing w:line="500" w:lineRule="exact"/>
        <w:rPr>
          <w:rFonts w:ascii="宋体" w:hAnsi="宋体"/>
          <w:b/>
          <w:color w:val="000000"/>
          <w:sz w:val="24"/>
        </w:rPr>
      </w:pPr>
      <w:r>
        <w:rPr>
          <w:rFonts w:hint="eastAsia" w:ascii="宋体" w:hAnsi="宋体"/>
          <w:b/>
          <w:color w:val="000000"/>
          <w:sz w:val="24"/>
        </w:rPr>
        <w:t xml:space="preserve">34.询问</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33.1 供应商对政府采购活动事项有疑问的，可以提出询问，采购人或者采购代理机构应当在3个工作日内对投标人依法提出的询问作出答复，但答复的内容不得涉及商业秘密。供应商提出的询问超出采购人对采购代理机构委托授权范围的，采购代理机构应当告知供应商向采购人提出。</w:t>
      </w:r>
      <w:r/>
    </w:p>
    <w:p>
      <w:pPr>
        <w:ind w:firstLine="482"/>
        <w:spacing w:line="500" w:lineRule="exact"/>
        <w:rPr>
          <w:rFonts w:ascii="宋体" w:hAnsi="宋体"/>
          <w:b/>
          <w:color w:val="000000"/>
          <w:sz w:val="24"/>
        </w:rPr>
      </w:pPr>
      <w:r>
        <w:rPr>
          <w:rFonts w:hint="eastAsia" w:ascii="宋体" w:hAnsi="宋体"/>
          <w:b/>
          <w:color w:val="000000"/>
          <w:sz w:val="24"/>
        </w:rPr>
        <w:t xml:space="preserve">35.质疑提出</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35.1提出质疑的供应商应当是参与所质疑项目采购活动的供应商。</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35.2供应商认为采购文件、采购过程、采购结果使自己的权益受到损害的，可以在知道或者应知其权益受到损害之日（获取采购文件之日、采购公告发布之日）起七个工作日内以书面形式向采购人、采购代理机构提出质疑。</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未依照采购公告要求获取采购文件的供应商，视为未参与该项目的采购活动，不具备对该采购文件提出质疑的法定权利。</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35.3提出质疑时，必须坚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35.4质疑函的接收方式为供应商书面原件提交。联系部门、联系电话和通讯地址详见招标文件第一章。质疑实行实名制，不得进行虚假、恶意质疑。</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35.5 质疑函应当使用范本，详见招标文件第六章。供应商提出质疑应当提交质疑函和必要的证明材料，应当包括下列内容：</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（1）供应商的姓名或者名称、地址、邮编、联系人及联系电话；</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（2）质疑项目的名称、编号；</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（3）具体、明确的质疑事项和与质疑事项相关的请求；</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（4）事实依据；</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（5）必要的法律依据；</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（6）提出质疑的日期；</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（7）必要的证明材料；</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（8）营业执照复印件及授权委托书原件、法定代表人（单位负责人）身份证复印件、委托代理人身份证复印件。</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供应商为自然人的，应当由本人签字；供应商为法人或者其他组织的，应当由法定代表人、主要负责人，或者其委托代理人签字或者盖章，并加盖单位公章。</w:t>
      </w:r>
      <w:r/>
    </w:p>
    <w:p>
      <w:pPr>
        <w:ind w:firstLine="480"/>
        <w:jc w:val="left"/>
        <w:spacing w:line="500" w:lineRule="exact"/>
        <w:widowControl/>
        <w:rPr>
          <w:rFonts w:ascii="宋体" w:hAnsi="宋体" w:cs="Times New Roman"/>
          <w:color w:val="000000"/>
          <w:sz w:val="24"/>
          <w:szCs w:val="24"/>
        </w:rPr>
      </w:pPr>
      <w:r>
        <w:rPr>
          <w:rFonts w:hint="eastAsia" w:ascii="宋体" w:hAnsi="宋体" w:cs="Times New Roman"/>
          <w:color w:val="000000"/>
          <w:sz w:val="24"/>
          <w:szCs w:val="24"/>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2"/>
        <w:spacing w:line="500" w:lineRule="exact"/>
        <w:rPr>
          <w:rFonts w:ascii="宋体" w:hAnsi="宋体"/>
          <w:b/>
          <w:color w:val="000000"/>
          <w:sz w:val="24"/>
        </w:rPr>
      </w:pPr>
      <w:r>
        <w:rPr>
          <w:rFonts w:hint="eastAsia" w:ascii="宋体" w:hAnsi="宋体"/>
          <w:b/>
          <w:color w:val="000000"/>
          <w:sz w:val="24"/>
        </w:rPr>
        <w:t xml:space="preserve">36.质疑函的受理和答复</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36.2 对符合质疑要求的，采购人、采购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36.3 对不符合质疑要求的，采购人、采购代理机构有权要求其补充必要的证明材料，质疑供应商未在法定的时间内提供补充必要的证明材料的，视同放弃质疑。</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36.4 以下情形的质疑不予受理</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（1）内容不符合《政府采购质疑和投诉办法》第十二条规定的质疑。</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（2）超出政府采购法定期限的质疑。</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（3）以传真、电子邮件等方式递交的非原件形式的质疑。</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（4）未参加采购活动的供应商或在采购活动中自身权益未受到损害的供应商所提出的质疑。</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（5）供应商组成联合体，联合体中任何一方或多方未按要求签字（盖章）、加盖公章的质疑。</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36.5 采购人、采购代理机构依法受理的质疑，将按照政府采购有关规定，在法定期限内答复。</w:t>
      </w:r>
      <w:r/>
    </w:p>
    <w:p>
      <w:pPr>
        <w:ind w:firstLine="482"/>
        <w:spacing w:line="500" w:lineRule="exact"/>
        <w:rPr>
          <w:rFonts w:ascii="宋体" w:hAnsi="宋体"/>
          <w:b/>
          <w:color w:val="000000"/>
          <w:sz w:val="24"/>
        </w:rPr>
      </w:pPr>
      <w:r>
        <w:rPr>
          <w:rFonts w:hint="eastAsia" w:ascii="宋体" w:hAnsi="宋体"/>
          <w:b/>
          <w:color w:val="000000"/>
          <w:sz w:val="24"/>
        </w:rPr>
        <w:t xml:space="preserve">37.质疑处理</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37.1 质疑供应商未按照法定程序进行质疑投诉的，视为一般失信行为。</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37.2 质疑供应商不配合或者采用不正当手段干扰政府采购质疑、投诉处理工作的，视为一般失信行为。</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37.3 质疑供应商投诉受理期间，就同一事项多头举报，干扰财政部门投诉处理的，视为一般失信行为。</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37.4 质疑供应商在全国范围12个月内三次以上质疑查无实据的，视为一般失信行为。</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37.5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37.6 质疑供应商在全国范围12个月内三次以上投诉查无实据的，视为严重失信行为。</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37.7 未尽事宜，依照有关法律、法规执行。</w:t>
      </w:r>
      <w:r/>
    </w:p>
    <w:p>
      <w:pPr>
        <w:pStyle w:val="691"/>
        <w:spacing w:before="0" w:after="0" w:line="500" w:lineRule="exact"/>
        <w:rPr>
          <w:rFonts w:ascii="宋体" w:hAnsi="宋体" w:eastAsia="宋体"/>
          <w:color w:val="000000"/>
        </w:rPr>
      </w:pPr>
      <w:r>
        <w:rPr>
          <w:rFonts w:hint="eastAsia" w:ascii="宋体" w:hAnsi="宋体" w:eastAsia="宋体"/>
          <w:color w:val="000000"/>
        </w:rPr>
        <w:t xml:space="preserve">九、政府采购政策功能</w:t>
      </w:r>
      <w:r/>
    </w:p>
    <w:p>
      <w:pPr>
        <w:ind w:firstLine="482"/>
        <w:spacing w:line="500" w:lineRule="exact"/>
        <w:rPr>
          <w:rFonts w:hint="eastAsia" w:ascii="宋体" w:hAnsi="宋体"/>
          <w:b/>
          <w:bCs/>
          <w:color w:val="000000"/>
          <w:sz w:val="24"/>
          <w:szCs w:val="24"/>
        </w:rPr>
      </w:pPr>
      <w:r>
        <w:rPr>
          <w:rFonts w:hint="eastAsia" w:ascii="宋体" w:hAnsi="宋体"/>
          <w:b/>
          <w:bCs/>
          <w:color w:val="000000"/>
          <w:sz w:val="24"/>
          <w:szCs w:val="24"/>
          <w:lang w:val="en-US" w:eastAsia="zh-CN"/>
        </w:rPr>
        <w:t xml:space="preserve">38</w:t>
      </w:r>
      <w:r>
        <w:rPr>
          <w:rFonts w:hint="eastAsia" w:ascii="宋体" w:hAnsi="宋体"/>
          <w:b/>
          <w:bCs/>
          <w:color w:val="000000"/>
          <w:sz w:val="24"/>
          <w:szCs w:val="24"/>
        </w:rPr>
        <w:t xml:space="preserve"> 支持中小企业发展</w:t>
      </w:r>
      <w:r/>
    </w:p>
    <w:p>
      <w:pPr>
        <w:ind w:firstLine="482"/>
        <w:spacing w:line="500" w:lineRule="exact"/>
        <w:rPr>
          <w:rFonts w:hint="eastAsia" w:ascii="宋体" w:hAnsi="宋体"/>
          <w:color w:val="000000"/>
          <w:sz w:val="24"/>
          <w:szCs w:val="24"/>
        </w:rPr>
      </w:pPr>
      <w:r>
        <w:rPr>
          <w:rFonts w:hint="eastAsia" w:ascii="宋体" w:hAnsi="宋体"/>
          <w:color w:val="000000"/>
          <w:sz w:val="24"/>
          <w:szCs w:val="24"/>
          <w:lang w:val="en-US" w:eastAsia="zh-CN"/>
        </w:rPr>
        <w:t xml:space="preserve">38.1</w:t>
      </w:r>
      <w:r>
        <w:rPr>
          <w:rFonts w:hint="eastAsia" w:ascii="宋体" w:hAnsi="宋体"/>
          <w:color w:val="000000"/>
          <w:sz w:val="24"/>
          <w:szCs w:val="24"/>
        </w:rPr>
        <w:t xml:space="preserve">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2"/>
        <w:spacing w:line="500" w:lineRule="exact"/>
        <w:rPr>
          <w:rFonts w:hint="eastAsia" w:ascii="宋体" w:hAnsi="宋体"/>
          <w:color w:val="000000"/>
          <w:sz w:val="24"/>
          <w:szCs w:val="24"/>
        </w:rPr>
      </w:pPr>
      <w:r>
        <w:rPr>
          <w:rFonts w:hint="eastAsia" w:ascii="宋体" w:hAnsi="宋体"/>
          <w:color w:val="000000"/>
          <w:sz w:val="24"/>
          <w:szCs w:val="24"/>
          <w:lang w:val="en-US" w:eastAsia="zh-CN"/>
        </w:rPr>
        <w:t xml:space="preserve">38.2</w:t>
      </w:r>
      <w:r>
        <w:rPr>
          <w:rFonts w:hint="eastAsia" w:ascii="宋体" w:hAnsi="宋体"/>
          <w:color w:val="000000"/>
          <w:sz w:val="24"/>
          <w:szCs w:val="24"/>
        </w:rPr>
        <w:t xml:space="preserve">参加本项目政府采购活动的供应商应当提供的材料： </w:t>
      </w:r>
      <w:r/>
    </w:p>
    <w:p>
      <w:pPr>
        <w:ind w:firstLine="482"/>
        <w:spacing w:line="500" w:lineRule="exact"/>
        <w:rPr>
          <w:rFonts w:hint="eastAsia" w:ascii="宋体" w:hAnsi="宋体"/>
          <w:color w:val="000000"/>
          <w:sz w:val="24"/>
          <w:szCs w:val="24"/>
        </w:rPr>
      </w:pPr>
      <w:r>
        <w:rPr>
          <w:rFonts w:hint="eastAsia" w:ascii="宋体" w:hAnsi="宋体"/>
          <w:color w:val="000000"/>
          <w:sz w:val="24"/>
          <w:szCs w:val="24"/>
        </w:rPr>
        <w:t xml:space="preserve">（1）供应商为中型企业、小型企业、微型企业的，提供《中小企业声明函》（第六章 响应文件格式）。</w:t>
      </w:r>
      <w:r/>
    </w:p>
    <w:p>
      <w:pPr>
        <w:ind w:firstLine="482"/>
        <w:spacing w:line="500" w:lineRule="exact"/>
        <w:rPr>
          <w:rFonts w:hint="eastAsia" w:ascii="宋体" w:hAnsi="宋体"/>
          <w:color w:val="000000"/>
          <w:sz w:val="24"/>
          <w:szCs w:val="24"/>
        </w:rPr>
      </w:pPr>
      <w:r>
        <w:rPr>
          <w:rFonts w:hint="eastAsia" w:ascii="宋体" w:hAnsi="宋体"/>
          <w:color w:val="000000"/>
          <w:sz w:val="24"/>
          <w:szCs w:val="24"/>
        </w:rPr>
        <w:t xml:space="preserve">（2）符合《关于促进残疾人就业政府采购政策的通知》（财库〔2017〕141号）规定的条件并提供《残疾人福利性单位声明函》（第六章 响应文件格式）的残疾人福利性单位视同小型、微型企业。</w:t>
      </w:r>
      <w:r/>
    </w:p>
    <w:p>
      <w:pPr>
        <w:ind w:firstLine="482"/>
        <w:spacing w:line="500" w:lineRule="exact"/>
        <w:rPr>
          <w:rFonts w:hint="eastAsia" w:ascii="宋体" w:hAnsi="宋体"/>
          <w:color w:val="000000"/>
          <w:sz w:val="24"/>
          <w:szCs w:val="24"/>
        </w:rPr>
      </w:pPr>
      <w:r>
        <w:rPr>
          <w:rFonts w:hint="eastAsia" w:ascii="宋体" w:hAnsi="宋体"/>
          <w:color w:val="000000"/>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2"/>
        <w:spacing w:line="500" w:lineRule="exact"/>
        <w:rPr>
          <w:rFonts w:ascii="宋体" w:hAnsi="宋体"/>
          <w:b/>
          <w:color w:val="000000"/>
          <w:sz w:val="24"/>
        </w:rPr>
      </w:pPr>
      <w:r>
        <w:rPr>
          <w:rFonts w:hint="eastAsia" w:ascii="宋体" w:hAnsi="宋体"/>
          <w:color w:val="000000"/>
          <w:sz w:val="24"/>
          <w:szCs w:val="24"/>
          <w:lang w:val="en-US" w:eastAsia="zh-CN"/>
        </w:rPr>
        <w:t xml:space="preserve">38.3</w:t>
      </w:r>
      <w:r>
        <w:rPr>
          <w:rFonts w:hint="eastAsia" w:ascii="宋体" w:hAnsi="宋体"/>
          <w:color w:val="000000"/>
          <w:sz w:val="24"/>
          <w:szCs w:val="24"/>
        </w:rPr>
        <w:t xml:space="preserve">享受扶持政策获得政府采购合同的，小微型企业不得将合同分包给大中型企业，中型企业不得将合同分包给大型企业。</w:t>
      </w:r>
      <w:r/>
    </w:p>
    <w:p>
      <w:pPr>
        <w:ind w:firstLine="482"/>
        <w:spacing w:line="500" w:lineRule="exact"/>
        <w:rPr>
          <w:rFonts w:ascii="宋体" w:hAnsi="宋体"/>
          <w:b/>
          <w:color w:val="000000"/>
          <w:sz w:val="24"/>
        </w:rPr>
      </w:pPr>
      <w:r>
        <w:rPr>
          <w:rFonts w:hint="eastAsia" w:ascii="宋体" w:hAnsi="宋体"/>
          <w:b/>
          <w:color w:val="000000"/>
          <w:sz w:val="24"/>
        </w:rPr>
        <w:t xml:space="preserve">39.支持绿色发展</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39.1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39.2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spacing w:line="500" w:lineRule="exact"/>
        <w:rPr>
          <w:rFonts w:ascii="宋体" w:hAnsi="宋体"/>
          <w:color w:val="000000"/>
          <w:sz w:val="24"/>
        </w:rPr>
      </w:pPr>
      <w:r>
        <w:rPr>
          <w:rFonts w:hint="eastAsia" w:ascii="宋体" w:hAnsi="宋体"/>
          <w:color w:val="000000"/>
          <w:sz w:val="24"/>
        </w:rPr>
        <w:t xml:space="preserve">39.3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ind w:firstLine="482"/>
        <w:spacing w:line="500" w:lineRule="exact"/>
        <w:rPr>
          <w:rFonts w:ascii="宋体" w:hAnsi="宋体"/>
          <w:b/>
          <w:color w:val="000000"/>
          <w:sz w:val="24"/>
        </w:rPr>
      </w:pPr>
      <w:r>
        <w:rPr>
          <w:rFonts w:hint="eastAsia" w:ascii="宋体" w:hAnsi="宋体"/>
          <w:b/>
          <w:color w:val="000000"/>
          <w:sz w:val="24"/>
        </w:rPr>
        <w:t xml:space="preserve">40.政府采购需求标准</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40.1本项目执行《绿色数据中心政府采购需求</w:t>
      </w:r>
      <w:r>
        <w:rPr>
          <w:rFonts w:hint="eastAsia" w:ascii="宋体" w:hAnsi="宋体"/>
          <w:color w:val="000000"/>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color w:val="000000"/>
          <w:sz w:val="24"/>
          <w:szCs w:val="24"/>
        </w:rPr>
      </w:pPr>
      <w:r>
        <w:rPr>
          <w:color w:val="000000"/>
          <w:sz w:val="24"/>
          <w:szCs w:val="24"/>
        </w:rPr>
        <w:br w:type="page" w:clear="all"/>
      </w:r>
      <w:r/>
    </w:p>
    <w:p>
      <w:pPr>
        <w:pStyle w:val="690"/>
        <w:jc w:val="center"/>
        <w:spacing w:line="360" w:lineRule="auto"/>
        <w:rPr>
          <w:rFonts w:ascii="黑体" w:hAnsi="黑体" w:eastAsia="黑体"/>
          <w:b w:val="0"/>
          <w:color w:val="000000"/>
        </w:rPr>
      </w:pPr>
      <w:r/>
      <w:bookmarkStart w:id="2" w:name="_Toc30190"/>
      <w:r>
        <w:rPr>
          <w:rFonts w:hint="eastAsia" w:ascii="黑体" w:hAnsi="黑体" w:eastAsia="黑体"/>
          <w:b w:val="0"/>
          <w:color w:val="000000"/>
        </w:rPr>
        <w:t xml:space="preserve">第三章  合同文本</w:t>
      </w:r>
      <w:bookmarkEnd w:id="2"/>
      <w:r/>
      <w:r/>
    </w:p>
    <w:p>
      <w:pPr>
        <w:ind w:left="-90"/>
        <w:jc w:val="center"/>
        <w:rPr>
          <w:rFonts w:ascii="宋体" w:hAnsi="宋体" w:cs="宋体"/>
          <w:b/>
          <w:color w:val="000000"/>
          <w:sz w:val="44"/>
          <w:szCs w:val="48"/>
        </w:rPr>
      </w:pPr>
      <w:r>
        <w:rPr>
          <w:rFonts w:ascii="宋体" w:hAnsi="宋体" w:cs="宋体"/>
          <w:b/>
          <w:color w:val="000000"/>
          <w:sz w:val="44"/>
          <w:szCs w:val="48"/>
        </w:rPr>
      </w:r>
      <w:r/>
    </w:p>
    <w:p>
      <w:pPr>
        <w:ind w:left="-90"/>
        <w:jc w:val="center"/>
        <w:rPr>
          <w:rFonts w:ascii="宋体" w:hAnsi="宋体" w:cs="宋体"/>
          <w:b/>
          <w:color w:val="000000"/>
          <w:sz w:val="44"/>
          <w:szCs w:val="48"/>
        </w:rPr>
      </w:pPr>
      <w:r>
        <w:rPr>
          <w:rFonts w:hint="eastAsia" w:ascii="宋体" w:hAnsi="宋体" w:cs="宋体"/>
          <w:b/>
          <w:color w:val="000000"/>
          <w:sz w:val="44"/>
          <w:szCs w:val="48"/>
          <w:lang w:eastAsia="zh-CN"/>
        </w:rPr>
        <w:t xml:space="preserve">连云港市东海生态环境局智慧化水环境监测能力建设项目</w:t>
      </w:r>
      <w:r>
        <w:rPr>
          <w:rFonts w:hint="eastAsia" w:ascii="宋体" w:hAnsi="宋体" w:cs="宋体"/>
          <w:b/>
          <w:color w:val="000000"/>
          <w:sz w:val="44"/>
          <w:szCs w:val="48"/>
        </w:rPr>
        <w:t xml:space="preserve">合同</w:t>
      </w:r>
      <w:r/>
    </w:p>
    <w:p>
      <w:pPr>
        <w:jc w:val="left"/>
        <w:spacing w:line="300" w:lineRule="auto"/>
        <w:widowControl/>
        <w:rPr>
          <w:rFonts w:ascii="宋体" w:hAnsi="宋体" w:cs="宋体"/>
          <w:color w:val="000000"/>
        </w:rPr>
      </w:pPr>
      <w:r>
        <w:rPr>
          <w:rFonts w:ascii="宋体" w:hAnsi="宋体" w:cs="宋体"/>
          <w:color w:val="000000"/>
        </w:rPr>
      </w:r>
      <w:r/>
    </w:p>
    <w:p>
      <w:pPr>
        <w:jc w:val="left"/>
        <w:spacing w:line="300" w:lineRule="auto"/>
        <w:widowControl/>
        <w:rPr>
          <w:rFonts w:ascii="宋体" w:hAnsi="宋体" w:cs="宋体"/>
          <w:color w:val="000000"/>
        </w:rPr>
      </w:pPr>
      <w:r>
        <w:rPr>
          <w:rFonts w:ascii="宋体" w:hAnsi="宋体" w:cs="宋体"/>
          <w:color w:val="000000"/>
        </w:rPr>
      </w:r>
      <w:r/>
    </w:p>
    <w:p>
      <w:pPr>
        <w:ind w:firstLine="2409"/>
        <w:jc w:val="left"/>
        <w:spacing w:line="300" w:lineRule="auto"/>
        <w:widowControl/>
        <w:rPr>
          <w:rFonts w:ascii="宋体" w:hAnsi="宋体" w:cs="宋体"/>
          <w:b/>
          <w:color w:val="000000"/>
          <w:sz w:val="30"/>
          <w:szCs w:val="30"/>
        </w:rPr>
      </w:pPr>
      <w:r>
        <w:rPr>
          <w:rFonts w:ascii="宋体" w:hAnsi="宋体" w:cs="宋体"/>
          <w:b/>
          <w:color w:val="000000"/>
          <w:sz w:val="30"/>
          <w:szCs w:val="30"/>
        </w:rPr>
      </w:r>
      <w:r/>
    </w:p>
    <w:p>
      <w:pPr>
        <w:ind w:firstLine="2409"/>
        <w:jc w:val="left"/>
        <w:spacing w:line="300" w:lineRule="auto"/>
        <w:widowControl/>
        <w:rPr>
          <w:rFonts w:ascii="宋体" w:hAnsi="宋体" w:cs="宋体"/>
          <w:b/>
          <w:color w:val="000000"/>
          <w:sz w:val="30"/>
          <w:szCs w:val="30"/>
        </w:rPr>
      </w:pPr>
      <w:r>
        <w:rPr>
          <w:rFonts w:ascii="宋体" w:hAnsi="宋体" w:cs="宋体"/>
          <w:b/>
          <w:color w:val="000000"/>
          <w:sz w:val="30"/>
          <w:szCs w:val="30"/>
        </w:rPr>
      </w:r>
      <w:r/>
    </w:p>
    <w:p>
      <w:pPr>
        <w:ind w:firstLine="2409"/>
        <w:jc w:val="left"/>
        <w:spacing w:line="300" w:lineRule="auto"/>
        <w:widowControl/>
        <w:rPr>
          <w:rFonts w:ascii="宋体" w:hAnsi="宋体" w:cs="宋体"/>
          <w:b/>
          <w:color w:val="000000"/>
          <w:sz w:val="30"/>
          <w:szCs w:val="30"/>
        </w:rPr>
      </w:pPr>
      <w:r>
        <w:rPr>
          <w:rFonts w:ascii="宋体" w:hAnsi="宋体" w:cs="宋体"/>
          <w:b/>
          <w:color w:val="000000"/>
          <w:sz w:val="30"/>
          <w:szCs w:val="30"/>
        </w:rPr>
      </w:r>
      <w:r/>
    </w:p>
    <w:p>
      <w:pPr>
        <w:ind w:firstLine="2409"/>
        <w:jc w:val="left"/>
        <w:spacing w:line="300" w:lineRule="auto"/>
        <w:widowControl/>
        <w:rPr>
          <w:rFonts w:ascii="宋体" w:hAnsi="宋体" w:cs="宋体"/>
          <w:b/>
          <w:bCs/>
          <w:color w:val="000000"/>
          <w:sz w:val="30"/>
          <w:szCs w:val="30"/>
        </w:rPr>
      </w:pPr>
      <w:r>
        <w:rPr>
          <w:rFonts w:hint="eastAsia" w:ascii="宋体" w:hAnsi="宋体" w:cs="宋体"/>
          <w:b/>
          <w:color w:val="000000"/>
          <w:sz w:val="30"/>
          <w:szCs w:val="30"/>
        </w:rPr>
        <w:t xml:space="preserve">合同编号：</w:t>
      </w:r>
      <w:r/>
    </w:p>
    <w:p>
      <w:pPr>
        <w:ind w:firstLine="480"/>
        <w:rPr>
          <w:rFonts w:ascii="宋体" w:hAnsi="宋体" w:cs="宋体"/>
          <w:color w:val="000000"/>
        </w:rPr>
      </w:pPr>
      <w:r>
        <w:rPr>
          <w:rFonts w:ascii="宋体" w:hAnsi="宋体" w:cs="宋体"/>
          <w:color w:val="000000"/>
        </w:rPr>
      </w:r>
      <w:r/>
    </w:p>
    <w:p>
      <w:pPr>
        <w:ind w:firstLine="480"/>
        <w:rPr>
          <w:rFonts w:ascii="宋体" w:hAnsi="宋体" w:cs="宋体"/>
          <w:color w:val="000000"/>
        </w:rPr>
      </w:pPr>
      <w:r>
        <w:rPr>
          <w:rFonts w:ascii="宋体" w:hAnsi="宋体" w:cs="宋体"/>
          <w:color w:val="000000"/>
        </w:rPr>
      </w:r>
      <w:r/>
    </w:p>
    <w:p>
      <w:pPr>
        <w:ind w:firstLine="480"/>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ind w:firstLine="1285"/>
        <w:jc w:val="left"/>
        <w:widowControl/>
        <w:rPr>
          <w:rFonts w:ascii="宋体" w:hAnsi="宋体" w:cs="宋体"/>
          <w:b/>
          <w:bCs/>
          <w:color w:val="000000"/>
          <w:sz w:val="32"/>
          <w:szCs w:val="32"/>
          <w:u w:val="single"/>
        </w:rPr>
      </w:pPr>
      <w:r>
        <w:rPr>
          <w:rFonts w:hint="eastAsia" w:ascii="宋体" w:hAnsi="宋体" w:cs="宋体"/>
          <w:b/>
          <w:bCs/>
          <w:color w:val="000000"/>
          <w:sz w:val="32"/>
          <w:szCs w:val="32"/>
        </w:rPr>
        <w:t xml:space="preserve">采购人：</w:t>
      </w:r>
      <w:r>
        <w:rPr>
          <w:rFonts w:hint="eastAsia" w:ascii="宋体" w:hAnsi="宋体" w:cs="宋体"/>
          <w:b/>
          <w:bCs/>
          <w:color w:val="000000"/>
          <w:sz w:val="32"/>
          <w:szCs w:val="32"/>
          <w:u w:val="single"/>
        </w:rPr>
        <w:t xml:space="preserve">                               </w:t>
      </w:r>
      <w:r/>
    </w:p>
    <w:p>
      <w:pPr>
        <w:ind w:firstLine="1285"/>
        <w:jc w:val="left"/>
        <w:widowControl/>
        <w:rPr>
          <w:rFonts w:ascii="宋体" w:hAnsi="宋体" w:cs="宋体"/>
          <w:b/>
          <w:bCs/>
          <w:color w:val="000000"/>
          <w:sz w:val="32"/>
          <w:szCs w:val="32"/>
        </w:rPr>
      </w:pPr>
      <w:r>
        <w:rPr>
          <w:rFonts w:hint="eastAsia" w:ascii="宋体" w:hAnsi="宋体" w:cs="宋体"/>
          <w:b/>
          <w:bCs/>
          <w:color w:val="000000"/>
          <w:sz w:val="32"/>
          <w:szCs w:val="32"/>
        </w:rPr>
        <w:t xml:space="preserve">中标人：</w:t>
      </w:r>
      <w:r>
        <w:rPr>
          <w:rFonts w:hint="eastAsia" w:ascii="宋体" w:hAnsi="宋体" w:cs="宋体"/>
          <w:b/>
          <w:bCs/>
          <w:color w:val="000000"/>
          <w:sz w:val="32"/>
          <w:szCs w:val="32"/>
          <w:u w:val="single"/>
        </w:rPr>
        <w:t xml:space="preserve">                               </w:t>
      </w:r>
      <w:r/>
    </w:p>
    <w:p>
      <w:pPr>
        <w:ind w:firstLine="3733"/>
        <w:jc w:val="left"/>
        <w:widowControl/>
        <w:rPr>
          <w:rFonts w:ascii="宋体" w:hAnsi="宋体" w:cs="宋体"/>
          <w:b/>
          <w:bCs/>
          <w:color w:val="000000"/>
          <w:sz w:val="32"/>
          <w:szCs w:val="32"/>
          <w:u w:val="single"/>
        </w:rPr>
      </w:pPr>
      <w:r>
        <w:rPr>
          <w:rFonts w:ascii="宋体" w:hAnsi="宋体" w:cs="宋体"/>
          <w:b/>
          <w:bCs/>
          <w:color w:val="000000"/>
          <w:sz w:val="32"/>
          <w:szCs w:val="32"/>
          <w:u w:val="single"/>
        </w:rPr>
      </w:r>
      <w:r/>
    </w:p>
    <w:p>
      <w:pPr>
        <w:ind w:firstLine="3733"/>
        <w:jc w:val="left"/>
        <w:widowControl/>
        <w:rPr>
          <w:rFonts w:ascii="宋体" w:hAnsi="宋体" w:cs="宋体"/>
          <w:b/>
          <w:bCs/>
          <w:color w:val="000000"/>
          <w:sz w:val="32"/>
          <w:szCs w:val="32"/>
          <w:u w:val="single"/>
        </w:rPr>
      </w:pPr>
      <w:r>
        <w:rPr>
          <w:rFonts w:ascii="宋体" w:hAnsi="宋体" w:cs="宋体"/>
          <w:b/>
          <w:bCs/>
          <w:color w:val="000000"/>
          <w:sz w:val="32"/>
          <w:szCs w:val="32"/>
          <w:u w:val="single"/>
        </w:rPr>
      </w:r>
      <w:r/>
    </w:p>
    <w:p>
      <w:pPr>
        <w:ind w:firstLine="3733"/>
        <w:jc w:val="left"/>
        <w:widowControl/>
        <w:rPr>
          <w:rFonts w:ascii="宋体" w:hAnsi="宋体" w:cs="宋体"/>
          <w:b/>
          <w:bCs/>
          <w:color w:val="000000"/>
          <w:sz w:val="32"/>
          <w:szCs w:val="32"/>
        </w:rPr>
      </w:pPr>
      <w:r>
        <w:rPr>
          <w:rFonts w:hint="eastAsia" w:ascii="宋体" w:hAnsi="宋体" w:cs="宋体"/>
          <w:b/>
          <w:bCs/>
          <w:color w:val="000000"/>
          <w:sz w:val="32"/>
          <w:szCs w:val="32"/>
          <w:u w:val="single"/>
        </w:rPr>
        <w:t xml:space="preserve">    </w:t>
      </w:r>
      <w:r>
        <w:rPr>
          <w:rFonts w:hint="eastAsia" w:ascii="宋体" w:hAnsi="宋体" w:cs="宋体"/>
          <w:b/>
          <w:bCs/>
          <w:color w:val="000000"/>
          <w:sz w:val="32"/>
          <w:szCs w:val="32"/>
        </w:rPr>
        <w:t xml:space="preserve">年</w:t>
      </w:r>
      <w:r>
        <w:rPr>
          <w:rFonts w:hint="eastAsia" w:ascii="宋体" w:hAnsi="宋体" w:cs="宋体"/>
          <w:b/>
          <w:bCs/>
          <w:color w:val="000000"/>
          <w:sz w:val="32"/>
          <w:szCs w:val="32"/>
          <w:u w:val="single"/>
        </w:rPr>
        <w:t xml:space="preserve">    </w:t>
      </w:r>
      <w:r>
        <w:rPr>
          <w:rFonts w:hint="eastAsia" w:ascii="宋体" w:hAnsi="宋体" w:cs="宋体"/>
          <w:b/>
          <w:bCs/>
          <w:color w:val="000000"/>
          <w:sz w:val="32"/>
          <w:szCs w:val="32"/>
        </w:rPr>
        <w:t xml:space="preserve">月</w:t>
      </w:r>
      <w:r/>
    </w:p>
    <w:p>
      <w:pPr>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jc w:val="left"/>
        <w:widowControl/>
        <w:rPr>
          <w:color w:val="000000"/>
          <w:sz w:val="24"/>
          <w:szCs w:val="24"/>
        </w:rPr>
      </w:pPr>
      <w:r>
        <w:rPr>
          <w:color w:val="000000"/>
          <w:sz w:val="24"/>
          <w:szCs w:val="24"/>
        </w:rPr>
      </w:r>
      <w:r/>
    </w:p>
    <w:p>
      <w:pPr>
        <w:spacing w:line="560" w:lineRule="exact"/>
        <w:rPr>
          <w:rFonts w:ascii="宋体" w:hAnsi="宋体" w:cs="宋体"/>
          <w:sz w:val="28"/>
          <w:szCs w:val="28"/>
        </w:rPr>
      </w:pPr>
      <w:r>
        <w:rPr>
          <w:rFonts w:ascii="宋体" w:hAnsi="宋体" w:cs="宋体"/>
          <w:sz w:val="28"/>
          <w:szCs w:val="28"/>
        </w:rPr>
      </w:r>
      <w:r/>
    </w:p>
    <w:p>
      <w:pPr>
        <w:ind w:firstLine="480"/>
        <w:spacing w:line="500" w:lineRule="exact"/>
        <w:rPr>
          <w:rFonts w:ascii="宋体" w:hAnsi="宋体"/>
          <w:bCs/>
          <w:sz w:val="24"/>
          <w:szCs w:val="21"/>
        </w:rPr>
      </w:pPr>
      <w:r/>
      <w:bookmarkStart w:id="3" w:name="_Toc16938559"/>
      <w:r/>
      <w:bookmarkStart w:id="4" w:name="_Toc20823315"/>
      <w:r/>
      <w:bookmarkStart w:id="5" w:name="_Toc513029243"/>
      <w:r>
        <w:rPr>
          <w:rFonts w:hint="eastAsia" w:ascii="宋体" w:hAnsi="宋体"/>
          <w:bCs/>
          <w:sz w:val="24"/>
          <w:szCs w:val="21"/>
        </w:rPr>
        <w:t xml:space="preserve">以下为中标后签定本项目合同的通用条款，中标人不得提出实质性的修改。</w:t>
      </w:r>
      <w:bookmarkEnd w:id="3"/>
      <w:r/>
      <w:bookmarkEnd w:id="4"/>
      <w:r/>
      <w:bookmarkEnd w:id="5"/>
      <w:r/>
      <w:r/>
    </w:p>
    <w:p>
      <w:pPr>
        <w:jc w:val="center"/>
        <w:spacing w:line="560" w:lineRule="exact"/>
        <w:rPr>
          <w:rFonts w:ascii="宋体" w:hAnsi="宋体"/>
          <w:bCs/>
          <w:sz w:val="24"/>
        </w:rPr>
      </w:pPr>
      <w:r/>
      <w:bookmarkStart w:id="6" w:name="_Hlt16619369"/>
      <w:r/>
      <w:bookmarkEnd w:id="6"/>
      <w:r>
        <w:rPr>
          <w:rFonts w:hint="eastAsia"/>
          <w:b/>
          <w:sz w:val="32"/>
          <w:szCs w:val="32"/>
        </w:rPr>
        <w:t xml:space="preserve">政府采购合同</w:t>
      </w:r>
      <w:r/>
    </w:p>
    <w:p>
      <w:pPr>
        <w:pStyle w:val="964"/>
        <w:ind w:firstLine="480"/>
        <w:jc w:val="left"/>
        <w:spacing w:line="560" w:lineRule="exact"/>
        <w:rPr>
          <w:rFonts w:hAnsi="宋体"/>
          <w:b/>
          <w:sz w:val="24"/>
          <w:szCs w:val="24"/>
          <w:u w:val="single"/>
        </w:rPr>
      </w:pPr>
      <w:r>
        <w:rPr>
          <w:rFonts w:hAnsi="宋体"/>
          <w:sz w:val="24"/>
          <w:szCs w:val="24"/>
        </w:rPr>
        <w:t xml:space="preserve">甲方：</w:t>
      </w:r>
      <w:r>
        <w:rPr>
          <w:rFonts w:hint="eastAsia" w:hAnsi="宋体"/>
          <w:sz w:val="24"/>
          <w:szCs w:val="24"/>
          <w:u w:val="single"/>
        </w:rPr>
        <w:t xml:space="preserve">     </w:t>
      </w:r>
      <w:r>
        <w:rPr>
          <w:rFonts w:hAnsi="宋体"/>
          <w:sz w:val="24"/>
          <w:szCs w:val="24"/>
          <w:u w:val="single"/>
        </w:rPr>
        <w:t xml:space="preserve">     </w:t>
      </w:r>
      <w:r/>
    </w:p>
    <w:p>
      <w:pPr>
        <w:pStyle w:val="964"/>
        <w:ind w:firstLine="480"/>
        <w:jc w:val="left"/>
        <w:spacing w:line="560" w:lineRule="exact"/>
        <w:rPr>
          <w:rFonts w:hAnsi="宋体"/>
          <w:sz w:val="24"/>
          <w:szCs w:val="24"/>
        </w:rPr>
      </w:pPr>
      <w:r>
        <w:rPr>
          <w:rFonts w:hAnsi="宋体"/>
          <w:sz w:val="24"/>
          <w:szCs w:val="24"/>
        </w:rPr>
        <w:t xml:space="preserve">乙方：</w:t>
      </w:r>
      <w:r>
        <w:rPr>
          <w:rFonts w:hint="eastAsia" w:hAnsi="宋体"/>
          <w:sz w:val="24"/>
          <w:szCs w:val="24"/>
          <w:u w:val="single"/>
        </w:rPr>
        <w:t xml:space="preserve">               </w:t>
      </w:r>
      <w:r/>
    </w:p>
    <w:p>
      <w:pPr>
        <w:pStyle w:val="964"/>
        <w:ind w:firstLine="480"/>
        <w:jc w:val="left"/>
        <w:spacing w:line="560" w:lineRule="exact"/>
        <w:rPr>
          <w:rFonts w:hAnsi="宋体"/>
          <w:b/>
          <w:sz w:val="24"/>
          <w:szCs w:val="24"/>
        </w:rPr>
      </w:pPr>
      <w:r>
        <w:rPr>
          <w:rFonts w:hAnsi="宋体"/>
          <w:sz w:val="24"/>
          <w:szCs w:val="24"/>
        </w:rPr>
        <w:t xml:space="preserve">甲、乙双方根据</w:t>
      </w:r>
      <w:r>
        <w:rPr>
          <w:rFonts w:hint="eastAsia" w:hAnsi="宋体"/>
          <w:sz w:val="24"/>
          <w:szCs w:val="24"/>
          <w:u w:val="single"/>
        </w:rPr>
        <w:t xml:space="preserve">     </w:t>
      </w:r>
      <w:r>
        <w:rPr>
          <w:rFonts w:hint="eastAsia" w:hAnsi="宋体"/>
          <w:sz w:val="24"/>
        </w:rPr>
        <w:t xml:space="preserve">年</w:t>
      </w:r>
      <w:r>
        <w:rPr>
          <w:rFonts w:hint="eastAsia" w:hAnsi="宋体"/>
          <w:sz w:val="24"/>
          <w:u w:val="single"/>
        </w:rPr>
        <w:t xml:space="preserve">   </w:t>
      </w:r>
      <w:r>
        <w:rPr>
          <w:rFonts w:hint="eastAsia" w:hAnsi="宋体"/>
          <w:sz w:val="24"/>
        </w:rPr>
        <w:t xml:space="preserve">月</w:t>
      </w:r>
      <w:r>
        <w:rPr>
          <w:rFonts w:hint="eastAsia" w:hAnsi="宋体"/>
          <w:sz w:val="24"/>
          <w:u w:val="single"/>
        </w:rPr>
        <w:t xml:space="preserve">  </w:t>
      </w:r>
      <w:r>
        <w:rPr>
          <w:rFonts w:hint="eastAsia" w:hAnsi="宋体"/>
          <w:sz w:val="24"/>
        </w:rPr>
        <w:t xml:space="preserve">日</w:t>
      </w:r>
      <w:r>
        <w:rPr>
          <w:rFonts w:hint="eastAsia" w:hAnsi="宋体"/>
          <w:b/>
          <w:sz w:val="24"/>
          <w:u w:val="single"/>
        </w:rPr>
        <w:t xml:space="preserve">                    </w:t>
      </w:r>
      <w:r>
        <w:rPr>
          <w:rFonts w:hAnsi="宋体"/>
          <w:sz w:val="24"/>
          <w:szCs w:val="24"/>
        </w:rPr>
        <w:t xml:space="preserve">项目（</w:t>
      </w:r>
      <w:r>
        <w:rPr>
          <w:rFonts w:hint="eastAsia" w:hAnsi="宋体"/>
          <w:sz w:val="24"/>
          <w:szCs w:val="24"/>
        </w:rPr>
        <w:t xml:space="preserve">标段</w:t>
      </w:r>
      <w:r>
        <w:rPr>
          <w:rFonts w:hAnsi="宋体"/>
          <w:sz w:val="24"/>
          <w:szCs w:val="24"/>
        </w:rPr>
        <w:t xml:space="preserve">编号：</w:t>
      </w:r>
      <w:r>
        <w:rPr>
          <w:rFonts w:hAnsi="宋体"/>
          <w:sz w:val="24"/>
          <w:szCs w:val="24"/>
          <w:u w:val="single"/>
        </w:rPr>
        <w:t xml:space="preserve">【标段编号】</w:t>
      </w:r>
      <w:r>
        <w:rPr>
          <w:rFonts w:hAnsi="宋体"/>
          <w:sz w:val="24"/>
          <w:szCs w:val="24"/>
        </w:rPr>
        <w:t xml:space="preserve">）招标的结果，签订本合同。</w:t>
      </w:r>
      <w:r/>
    </w:p>
    <w:p>
      <w:pPr>
        <w:pStyle w:val="964"/>
        <w:ind w:firstLine="482"/>
        <w:jc w:val="left"/>
        <w:spacing w:line="560" w:lineRule="exact"/>
        <w:rPr>
          <w:rFonts w:hAnsi="宋体"/>
          <w:b/>
          <w:sz w:val="24"/>
          <w:szCs w:val="24"/>
        </w:rPr>
      </w:pPr>
      <w:r>
        <w:rPr>
          <w:rFonts w:hAnsi="宋体"/>
          <w:b/>
          <w:sz w:val="24"/>
          <w:szCs w:val="24"/>
        </w:rPr>
        <w:t xml:space="preserve">一、采购标的</w:t>
      </w:r>
      <w:r/>
    </w:p>
    <w:p>
      <w:pPr>
        <w:pStyle w:val="964"/>
        <w:ind w:firstLine="480"/>
        <w:jc w:val="left"/>
        <w:spacing w:line="560" w:lineRule="exact"/>
        <w:rPr>
          <w:rFonts w:hAnsi="宋体"/>
          <w:sz w:val="24"/>
          <w:szCs w:val="24"/>
          <w:u w:val="single"/>
        </w:rPr>
      </w:pPr>
      <w:r>
        <w:rPr>
          <w:rFonts w:hAnsi="宋体"/>
          <w:sz w:val="24"/>
          <w:szCs w:val="24"/>
        </w:rPr>
        <w:t xml:space="preserve">1.1 </w:t>
      </w:r>
      <w:r>
        <w:rPr>
          <w:rFonts w:hint="eastAsia" w:hAnsi="宋体"/>
          <w:sz w:val="24"/>
          <w:szCs w:val="24"/>
        </w:rPr>
        <w:t xml:space="preserve">货物</w:t>
      </w:r>
      <w:r>
        <w:rPr>
          <w:rFonts w:hAnsi="宋体"/>
          <w:sz w:val="24"/>
          <w:szCs w:val="24"/>
        </w:rPr>
        <w:t xml:space="preserve">内容：</w:t>
      </w:r>
      <w:r>
        <w:rPr>
          <w:rFonts w:hAnsi="宋体"/>
          <w:bCs/>
          <w:sz w:val="24"/>
          <w:szCs w:val="24"/>
          <w:u w:val="single"/>
        </w:rPr>
        <w:t xml:space="preserve">             </w:t>
      </w:r>
      <w:r>
        <w:rPr>
          <w:rFonts w:hAnsi="宋体"/>
          <w:sz w:val="24"/>
          <w:szCs w:val="24"/>
        </w:rPr>
        <w:t xml:space="preserve">。</w:t>
      </w:r>
      <w:r/>
    </w:p>
    <w:p>
      <w:pPr>
        <w:pStyle w:val="964"/>
        <w:ind w:firstLine="480"/>
        <w:jc w:val="left"/>
        <w:spacing w:line="560" w:lineRule="exact"/>
        <w:rPr>
          <w:rFonts w:hAnsi="宋体"/>
          <w:sz w:val="24"/>
          <w:szCs w:val="24"/>
        </w:rPr>
      </w:pPr>
      <w:r>
        <w:rPr>
          <w:rFonts w:hAnsi="宋体"/>
          <w:sz w:val="24"/>
          <w:szCs w:val="24"/>
        </w:rPr>
        <w:t xml:space="preserve">1.2 </w:t>
      </w:r>
      <w:r>
        <w:rPr>
          <w:rFonts w:hint="eastAsia" w:hAnsi="宋体"/>
          <w:sz w:val="24"/>
          <w:szCs w:val="24"/>
        </w:rPr>
        <w:t xml:space="preserve">规格型号</w:t>
      </w:r>
      <w:r>
        <w:rPr>
          <w:rFonts w:hAnsi="宋体"/>
          <w:sz w:val="24"/>
          <w:szCs w:val="24"/>
        </w:rPr>
        <w:t xml:space="preserve">：</w:t>
      </w:r>
      <w:r>
        <w:rPr>
          <w:rFonts w:hint="eastAsia" w:hAnsi="宋体"/>
          <w:sz w:val="24"/>
          <w:szCs w:val="24"/>
          <w:u w:val="single"/>
        </w:rPr>
        <w:t xml:space="preserve">             </w:t>
      </w:r>
      <w:r>
        <w:rPr>
          <w:rFonts w:hAnsi="宋体"/>
          <w:sz w:val="24"/>
          <w:szCs w:val="24"/>
        </w:rPr>
        <w:t xml:space="preserve">。</w:t>
      </w:r>
      <w:r/>
    </w:p>
    <w:p>
      <w:pPr>
        <w:pStyle w:val="964"/>
        <w:ind w:firstLine="480"/>
        <w:jc w:val="left"/>
        <w:spacing w:line="560" w:lineRule="exact"/>
        <w:rPr>
          <w:rFonts w:hAnsi="宋体"/>
          <w:sz w:val="24"/>
          <w:szCs w:val="24"/>
        </w:rPr>
      </w:pPr>
      <w:r>
        <w:rPr>
          <w:rFonts w:hint="eastAsia" w:hAnsi="宋体"/>
          <w:sz w:val="24"/>
          <w:szCs w:val="24"/>
        </w:rPr>
        <w:t xml:space="preserve">1.3 技术参数：</w:t>
      </w:r>
      <w:r>
        <w:rPr>
          <w:rFonts w:hint="eastAsia" w:hAnsi="宋体"/>
          <w:sz w:val="24"/>
          <w:szCs w:val="24"/>
          <w:u w:val="single"/>
        </w:rPr>
        <w:t xml:space="preserve">             </w:t>
      </w:r>
      <w:r>
        <w:rPr>
          <w:rFonts w:hAnsi="宋体"/>
          <w:sz w:val="24"/>
          <w:szCs w:val="24"/>
        </w:rPr>
        <w:t xml:space="preserve">。</w:t>
      </w:r>
      <w:r/>
    </w:p>
    <w:p>
      <w:pPr>
        <w:pStyle w:val="964"/>
        <w:ind w:firstLine="480"/>
        <w:jc w:val="left"/>
        <w:spacing w:line="560" w:lineRule="exact"/>
        <w:rPr>
          <w:rFonts w:hAnsi="宋体"/>
          <w:sz w:val="24"/>
          <w:szCs w:val="24"/>
        </w:rPr>
      </w:pPr>
      <w:r>
        <w:rPr>
          <w:rFonts w:hint="eastAsia" w:hAnsi="宋体"/>
          <w:sz w:val="24"/>
          <w:szCs w:val="24"/>
        </w:rPr>
        <w:t xml:space="preserve">1.4 数量：</w:t>
      </w:r>
      <w:r>
        <w:rPr>
          <w:rFonts w:hint="eastAsia" w:hAnsi="宋体"/>
          <w:sz w:val="24"/>
          <w:szCs w:val="24"/>
          <w:u w:val="single"/>
        </w:rPr>
        <w:t xml:space="preserve">             </w:t>
      </w:r>
      <w:r>
        <w:rPr>
          <w:rFonts w:hAnsi="宋体"/>
          <w:sz w:val="24"/>
          <w:szCs w:val="24"/>
        </w:rPr>
        <w:t xml:space="preserve">。</w:t>
      </w:r>
      <w:r/>
    </w:p>
    <w:p>
      <w:pPr>
        <w:pStyle w:val="964"/>
        <w:ind w:firstLine="480"/>
        <w:jc w:val="left"/>
        <w:spacing w:line="560" w:lineRule="exact"/>
        <w:rPr>
          <w:rFonts w:hAnsi="宋体"/>
          <w:sz w:val="24"/>
          <w:szCs w:val="24"/>
          <w:u w:val="single"/>
        </w:rPr>
      </w:pPr>
      <w:r>
        <w:rPr>
          <w:rFonts w:hAnsi="宋体"/>
          <w:sz w:val="24"/>
          <w:szCs w:val="24"/>
        </w:rPr>
        <w:t xml:space="preserve">1.</w:t>
      </w:r>
      <w:r>
        <w:rPr>
          <w:rFonts w:hint="eastAsia" w:hAnsi="宋体"/>
          <w:sz w:val="24"/>
          <w:szCs w:val="24"/>
        </w:rPr>
        <w:t xml:space="preserve">5</w:t>
      </w:r>
      <w:r>
        <w:rPr>
          <w:rFonts w:hAnsi="宋体"/>
          <w:sz w:val="24"/>
          <w:szCs w:val="24"/>
        </w:rPr>
        <w:t xml:space="preserve"> 补充条款：</w:t>
      </w:r>
      <w:r>
        <w:rPr>
          <w:rFonts w:hint="eastAsia" w:hAnsi="宋体" w:cs="宋体"/>
          <w:sz w:val="24"/>
          <w:u w:val="single"/>
        </w:rPr>
        <w:t xml:space="preserve">        </w:t>
      </w:r>
      <w:r>
        <w:rPr>
          <w:rFonts w:hAnsi="宋体"/>
          <w:sz w:val="24"/>
          <w:szCs w:val="24"/>
        </w:rPr>
        <w:t xml:space="preserve">。</w:t>
      </w:r>
      <w:r/>
    </w:p>
    <w:p>
      <w:pPr>
        <w:pStyle w:val="964"/>
        <w:ind w:firstLine="482"/>
        <w:jc w:val="left"/>
        <w:spacing w:line="560" w:lineRule="exact"/>
        <w:rPr>
          <w:rFonts w:hAnsi="宋体"/>
          <w:b/>
          <w:sz w:val="24"/>
          <w:szCs w:val="24"/>
        </w:rPr>
      </w:pPr>
      <w:r>
        <w:rPr>
          <w:rFonts w:hAnsi="宋体"/>
          <w:b/>
          <w:sz w:val="24"/>
          <w:szCs w:val="24"/>
        </w:rPr>
        <w:t xml:space="preserve">二、合同金额</w:t>
      </w:r>
      <w:r/>
    </w:p>
    <w:p>
      <w:pPr>
        <w:pStyle w:val="964"/>
        <w:ind w:firstLine="480"/>
        <w:jc w:val="left"/>
        <w:spacing w:line="560" w:lineRule="exact"/>
        <w:rPr>
          <w:rFonts w:hAnsi="宋体"/>
          <w:sz w:val="24"/>
          <w:szCs w:val="24"/>
        </w:rPr>
      </w:pPr>
      <w:r>
        <w:rPr>
          <w:rFonts w:hAnsi="宋体"/>
          <w:sz w:val="24"/>
          <w:szCs w:val="24"/>
        </w:rPr>
        <w:t xml:space="preserve">2.1 本合同金额为（大写）：</w:t>
      </w:r>
      <w:r>
        <w:rPr>
          <w:rFonts w:hint="eastAsia" w:hAnsi="宋体"/>
          <w:sz w:val="24"/>
          <w:szCs w:val="24"/>
          <w:u w:val="single"/>
        </w:rPr>
        <w:t xml:space="preserve">               </w:t>
      </w:r>
      <w:r>
        <w:rPr>
          <w:rFonts w:hAnsi="宋体"/>
          <w:sz w:val="24"/>
          <w:szCs w:val="24"/>
        </w:rPr>
        <w:t xml:space="preserve">元整（</w:t>
      </w:r>
      <w:r>
        <w:rPr>
          <w:rFonts w:hint="eastAsia" w:hAnsi="宋体"/>
          <w:sz w:val="24"/>
          <w:szCs w:val="24"/>
        </w:rPr>
        <w:t xml:space="preserve">¥</w:t>
      </w:r>
      <w:r>
        <w:rPr>
          <w:rFonts w:hAnsi="宋体"/>
          <w:sz w:val="24"/>
          <w:szCs w:val="24"/>
          <w:u w:val="single"/>
        </w:rPr>
        <w:t xml:space="preserve">           </w:t>
      </w:r>
      <w:r>
        <w:rPr>
          <w:rFonts w:hAnsi="宋体"/>
          <w:sz w:val="24"/>
          <w:szCs w:val="24"/>
        </w:rPr>
        <w:t xml:space="preserve">）人民币。</w:t>
      </w:r>
      <w:r/>
    </w:p>
    <w:p>
      <w:pPr>
        <w:pStyle w:val="964"/>
        <w:ind w:firstLine="480"/>
        <w:jc w:val="left"/>
        <w:spacing w:line="560" w:lineRule="exact"/>
        <w:rPr>
          <w:rFonts w:hAnsi="宋体"/>
          <w:sz w:val="24"/>
          <w:szCs w:val="24"/>
        </w:rPr>
      </w:pPr>
      <w:r>
        <w:rPr>
          <w:rFonts w:hAnsi="宋体"/>
          <w:sz w:val="24"/>
          <w:szCs w:val="24"/>
        </w:rPr>
        <w:t xml:space="preserve">本合同价款包含所有乙方提供合同约定产品和服务的报酬及乙方提供合同中产品和服务所支出的必要费用，甲方在上述合同价款之外不再向乙方支付其他任何费用。</w:t>
      </w:r>
      <w:r/>
    </w:p>
    <w:p>
      <w:pPr>
        <w:pStyle w:val="964"/>
        <w:ind w:firstLine="482"/>
        <w:jc w:val="left"/>
        <w:spacing w:line="560" w:lineRule="exact"/>
        <w:rPr>
          <w:rFonts w:hAnsi="宋体"/>
          <w:b/>
          <w:sz w:val="24"/>
          <w:szCs w:val="24"/>
        </w:rPr>
      </w:pPr>
      <w:r>
        <w:rPr>
          <w:rFonts w:hAnsi="宋体"/>
          <w:b/>
          <w:sz w:val="24"/>
          <w:szCs w:val="24"/>
        </w:rPr>
        <w:t xml:space="preserve">三、技术资料</w:t>
      </w:r>
      <w:r/>
    </w:p>
    <w:p>
      <w:pPr>
        <w:pStyle w:val="964"/>
        <w:ind w:firstLine="480"/>
        <w:jc w:val="left"/>
        <w:spacing w:line="560" w:lineRule="exact"/>
        <w:rPr>
          <w:rFonts w:hAnsi="宋体"/>
          <w:sz w:val="24"/>
          <w:szCs w:val="24"/>
        </w:rPr>
      </w:pPr>
      <w:r>
        <w:rPr>
          <w:rFonts w:hAnsi="宋体"/>
          <w:sz w:val="24"/>
          <w:szCs w:val="24"/>
        </w:rPr>
        <w:t xml:space="preserve">3.1</w:t>
      </w:r>
      <w:r>
        <w:rPr>
          <w:rFonts w:hint="eastAsia" w:hAnsi="宋体"/>
          <w:sz w:val="24"/>
          <w:szCs w:val="24"/>
        </w:rPr>
        <w:t xml:space="preserve"> </w:t>
      </w:r>
      <w:r>
        <w:rPr>
          <w:rFonts w:hAnsi="宋体"/>
          <w:sz w:val="24"/>
          <w:szCs w:val="24"/>
        </w:rPr>
        <w:t xml:space="preserve">乙方应按招标文件规定的时间向甲方提供有关技术资料。</w:t>
      </w:r>
      <w:r/>
    </w:p>
    <w:p>
      <w:pPr>
        <w:pStyle w:val="964"/>
        <w:ind w:firstLine="480"/>
        <w:jc w:val="left"/>
        <w:spacing w:line="560" w:lineRule="exact"/>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64"/>
        <w:ind w:firstLine="482"/>
        <w:jc w:val="left"/>
        <w:spacing w:line="560" w:lineRule="exact"/>
        <w:rPr>
          <w:rFonts w:hAnsi="宋体"/>
          <w:b/>
          <w:sz w:val="24"/>
          <w:szCs w:val="24"/>
        </w:rPr>
      </w:pPr>
      <w:r>
        <w:rPr>
          <w:rFonts w:hAnsi="宋体"/>
          <w:b/>
          <w:sz w:val="24"/>
          <w:szCs w:val="24"/>
        </w:rPr>
        <w:t xml:space="preserve">四、知识产权</w:t>
      </w:r>
      <w:r/>
    </w:p>
    <w:p>
      <w:pPr>
        <w:ind w:firstLine="480"/>
        <w:jc w:val="left"/>
        <w:spacing w:line="560" w:lineRule="exact"/>
        <w:rPr>
          <w:rFonts w:ascii="宋体" w:hAnsi="宋体"/>
          <w:sz w:val="24"/>
        </w:rPr>
      </w:pPr>
      <w:r>
        <w:rPr>
          <w:rFonts w:hint="eastAsia" w:hAnsi="宋体"/>
          <w:sz w:val="24"/>
        </w:rPr>
        <w:t xml:space="preserve">4.1 </w:t>
      </w:r>
      <w:r>
        <w:rPr>
          <w:rFonts w:hAnsi="宋体"/>
          <w:sz w:val="24"/>
        </w:rPr>
        <w:t xml:space="preserve">乙</w:t>
      </w:r>
      <w:r>
        <w:rPr>
          <w:rFonts w:hint="eastAsia" w:ascii="宋体" w:hAnsi="宋体"/>
          <w:sz w:val="24"/>
        </w:rPr>
        <w:t xml:space="preserve">方应保证甲方在使用、接受本合同</w:t>
      </w:r>
      <w:r>
        <w:rPr>
          <w:rFonts w:hAnsi="宋体"/>
          <w:sz w:val="24"/>
        </w:rPr>
        <w:t xml:space="preserve">中产品和服务</w:t>
      </w:r>
      <w:r>
        <w:rPr>
          <w:rFonts w:hint="eastAsia" w:ascii="宋体" w:hAnsi="宋体"/>
          <w:sz w:val="24"/>
        </w:rPr>
        <w:t xml:space="preserve">或其任何一部分时不受第三方提出侵犯其专利权、版权、商标权和工业设计权等知识产权的起诉。一旦出现侵权，由乙方负全部责任。</w:t>
      </w:r>
      <w:r/>
    </w:p>
    <w:p>
      <w:pPr>
        <w:pStyle w:val="964"/>
        <w:ind w:firstLine="482"/>
        <w:jc w:val="left"/>
        <w:spacing w:line="560" w:lineRule="exact"/>
        <w:rPr>
          <w:rFonts w:hAnsi="宋体"/>
          <w:sz w:val="24"/>
          <w:szCs w:val="24"/>
          <w:u w:val="single"/>
        </w:rPr>
      </w:pPr>
      <w:r>
        <w:rPr>
          <w:rFonts w:hAnsi="宋体"/>
          <w:b/>
          <w:sz w:val="24"/>
          <w:szCs w:val="24"/>
        </w:rPr>
        <w:t xml:space="preserve">五、产权担保</w:t>
      </w:r>
      <w:r/>
    </w:p>
    <w:p>
      <w:pPr>
        <w:pStyle w:val="964"/>
        <w:ind w:firstLine="480"/>
        <w:jc w:val="left"/>
        <w:spacing w:line="560" w:lineRule="exact"/>
        <w:rPr>
          <w:rFonts w:hAnsi="宋体"/>
          <w:sz w:val="24"/>
          <w:szCs w:val="24"/>
          <w:u w:val="single"/>
        </w:rPr>
      </w:pPr>
      <w:r>
        <w:rPr>
          <w:rFonts w:hint="eastAsia" w:hAnsi="宋体"/>
          <w:sz w:val="24"/>
          <w:szCs w:val="24"/>
        </w:rPr>
        <w:t xml:space="preserve">5.1 </w:t>
      </w:r>
      <w:r>
        <w:rPr>
          <w:rFonts w:hAnsi="宋体"/>
          <w:sz w:val="24"/>
          <w:szCs w:val="24"/>
        </w:rPr>
        <w:t xml:space="preserve">乙方保证所交付标的的所有权完全属于乙方且无任何抵押、查封等产权瑕疵。</w:t>
      </w:r>
      <w:r/>
    </w:p>
    <w:p>
      <w:pPr>
        <w:pStyle w:val="964"/>
        <w:ind w:firstLine="482"/>
        <w:jc w:val="left"/>
        <w:spacing w:line="560" w:lineRule="exact"/>
        <w:rPr>
          <w:rFonts w:hAnsi="宋体"/>
          <w:bCs/>
          <w:sz w:val="24"/>
          <w:szCs w:val="24"/>
        </w:rPr>
      </w:pPr>
      <w:r>
        <w:rPr>
          <w:rFonts w:hAnsi="宋体"/>
          <w:b/>
          <w:sz w:val="24"/>
          <w:szCs w:val="24"/>
        </w:rPr>
        <w:t xml:space="preserve">六、履约保证金：</w:t>
      </w:r>
      <w:r>
        <w:rPr>
          <w:rFonts w:hint="eastAsia" w:hAnsi="宋体"/>
          <w:b/>
          <w:sz w:val="24"/>
          <w:szCs w:val="24"/>
        </w:rPr>
        <w:t xml:space="preserve">本项目不收取</w:t>
      </w:r>
      <w:r>
        <w:rPr>
          <w:rFonts w:hAnsi="宋体"/>
          <w:b/>
          <w:sz w:val="24"/>
          <w:szCs w:val="24"/>
        </w:rPr>
        <w:t xml:space="preserve">履约保证金</w:t>
      </w:r>
      <w:r>
        <w:rPr>
          <w:rFonts w:hint="eastAsia" w:hAnsi="宋体"/>
          <w:bCs/>
          <w:sz w:val="24"/>
          <w:szCs w:val="24"/>
        </w:rPr>
        <w:t xml:space="preserve">。</w:t>
      </w:r>
      <w:r/>
    </w:p>
    <w:p>
      <w:pPr>
        <w:pStyle w:val="964"/>
        <w:ind w:firstLine="482"/>
        <w:jc w:val="left"/>
        <w:spacing w:line="560" w:lineRule="exact"/>
        <w:rPr>
          <w:rFonts w:hAnsi="宋体"/>
          <w:b/>
          <w:sz w:val="24"/>
          <w:szCs w:val="24"/>
        </w:rPr>
      </w:pPr>
      <w:r>
        <w:rPr>
          <w:rFonts w:hAnsi="宋体"/>
          <w:b/>
          <w:sz w:val="24"/>
          <w:szCs w:val="24"/>
        </w:rPr>
        <w:t xml:space="preserve">七、转包或分包</w:t>
      </w:r>
      <w:r/>
    </w:p>
    <w:p>
      <w:pPr>
        <w:ind w:firstLine="480"/>
        <w:jc w:val="left"/>
        <w:spacing w:line="560" w:lineRule="exact"/>
        <w:rPr>
          <w:rFonts w:ascii="宋体" w:hAnsi="宋体" w:eastAsia="仿宋_GB2312"/>
          <w:sz w:val="24"/>
        </w:rPr>
      </w:pPr>
      <w:r>
        <w:rPr>
          <w:rFonts w:ascii="宋体" w:hAnsi="宋体"/>
          <w:sz w:val="24"/>
        </w:rPr>
        <w:t xml:space="preserve">7.1</w:t>
      </w:r>
      <w:r>
        <w:rPr>
          <w:rFonts w:hint="eastAsia" w:ascii="宋体" w:hAnsi="宋体"/>
          <w:sz w:val="24"/>
        </w:rPr>
        <w:t xml:space="preserve"> 本合同范围内产品或服务，应由乙方直接供应，不得转让他人供应；</w:t>
      </w:r>
      <w:r/>
    </w:p>
    <w:p>
      <w:pPr>
        <w:ind w:firstLine="480"/>
        <w:jc w:val="left"/>
        <w:spacing w:line="560" w:lineRule="exact"/>
        <w:rPr>
          <w:rFonts w:ascii="宋体" w:hAnsi="宋体" w:eastAsia="仿宋_GB2312"/>
          <w:sz w:val="24"/>
        </w:rPr>
      </w:pPr>
      <w:r>
        <w:rPr>
          <w:rFonts w:ascii="宋体" w:hAnsi="宋体"/>
          <w:sz w:val="24"/>
        </w:rPr>
        <w:t xml:space="preserve">7.2 </w:t>
      </w:r>
      <w:r>
        <w:rPr>
          <w:rFonts w:hint="eastAsia" w:ascii="宋体" w:hAnsi="宋体"/>
          <w:sz w:val="24"/>
        </w:rPr>
        <w:t xml:space="preserve">除非得到甲方的书面同意，乙方不得部分分包给他人供应。</w:t>
      </w:r>
      <w:r/>
    </w:p>
    <w:p>
      <w:pPr>
        <w:ind w:firstLine="480"/>
        <w:jc w:val="left"/>
        <w:spacing w:line="560" w:lineRule="exact"/>
        <w:rPr>
          <w:rFonts w:ascii="宋体" w:hAnsi="宋体" w:eastAsia="仿宋_GB2312"/>
          <w:sz w:val="24"/>
        </w:rPr>
      </w:pPr>
      <w:r>
        <w:rPr>
          <w:rFonts w:ascii="宋体" w:hAnsi="宋体"/>
          <w:sz w:val="24"/>
        </w:rPr>
        <w:t xml:space="preserve">7.3</w:t>
      </w:r>
      <w:r>
        <w:rPr>
          <w:rFonts w:hint="eastAsia" w:ascii="宋体" w:hAnsi="宋体"/>
          <w:sz w:val="24"/>
        </w:rPr>
        <w:t xml:space="preserve"> 如有转让和未经甲方同意的分包行为，甲方有权给予终止合同。 </w:t>
      </w:r>
      <w:r/>
    </w:p>
    <w:p>
      <w:pPr>
        <w:pStyle w:val="964"/>
        <w:ind w:firstLine="482"/>
        <w:jc w:val="left"/>
        <w:spacing w:line="560" w:lineRule="exact"/>
        <w:rPr>
          <w:rFonts w:hAnsi="宋体"/>
          <w:sz w:val="24"/>
          <w:szCs w:val="24"/>
        </w:rPr>
      </w:pPr>
      <w:r>
        <w:rPr>
          <w:rFonts w:hAnsi="宋体"/>
          <w:b/>
          <w:sz w:val="24"/>
          <w:szCs w:val="24"/>
        </w:rPr>
        <w:t xml:space="preserve">八、</w:t>
      </w:r>
      <w:r>
        <w:rPr>
          <w:rFonts w:hint="eastAsia" w:hAnsi="宋体"/>
          <w:b/>
          <w:sz w:val="24"/>
          <w:szCs w:val="24"/>
        </w:rPr>
        <w:t xml:space="preserve">质保期</w:t>
      </w:r>
      <w:r/>
    </w:p>
    <w:p>
      <w:pPr>
        <w:pStyle w:val="964"/>
        <w:ind w:firstLine="480"/>
        <w:jc w:val="left"/>
        <w:spacing w:line="560" w:lineRule="exact"/>
        <w:rPr>
          <w:rFonts w:hAnsi="宋体"/>
          <w:sz w:val="24"/>
          <w:szCs w:val="24"/>
        </w:rPr>
      </w:pPr>
      <w:r>
        <w:rPr>
          <w:rFonts w:hint="eastAsia" w:hAnsi="宋体"/>
          <w:sz w:val="24"/>
          <w:szCs w:val="24"/>
        </w:rPr>
        <w:t xml:space="preserve">8.1 质保期</w:t>
      </w:r>
      <w:r>
        <w:rPr>
          <w:rFonts w:hAnsi="宋体"/>
          <w:sz w:val="24"/>
          <w:szCs w:val="24"/>
          <w:u w:val="single"/>
        </w:rPr>
        <w:t xml:space="preserve">        </w:t>
      </w:r>
      <w:r>
        <w:rPr>
          <w:rFonts w:hint="eastAsia" w:hAnsi="宋体"/>
          <w:sz w:val="24"/>
          <w:szCs w:val="24"/>
        </w:rPr>
        <w:t xml:space="preserve">（自项目验收合格之日起计）</w:t>
      </w:r>
      <w:r>
        <w:rPr>
          <w:rFonts w:hAnsi="宋体"/>
          <w:sz w:val="24"/>
          <w:szCs w:val="24"/>
        </w:rPr>
        <w:t xml:space="preserve">。</w:t>
      </w:r>
      <w:r/>
    </w:p>
    <w:p>
      <w:pPr>
        <w:pStyle w:val="964"/>
        <w:ind w:firstLine="482"/>
        <w:jc w:val="left"/>
        <w:spacing w:line="560" w:lineRule="exact"/>
        <w:rPr>
          <w:rFonts w:ascii="Times New Roman" w:hAnsi="Times New Roman"/>
          <w:b/>
          <w:sz w:val="24"/>
          <w:szCs w:val="24"/>
        </w:rPr>
      </w:pPr>
      <w:r>
        <w:rPr>
          <w:rFonts w:ascii="Times New Roman" w:hAnsi="宋体"/>
          <w:b/>
          <w:sz w:val="24"/>
          <w:szCs w:val="24"/>
        </w:rPr>
        <w:t xml:space="preserve">九、交付期、交付方式及交付地点</w:t>
      </w:r>
      <w:r/>
    </w:p>
    <w:p>
      <w:pPr>
        <w:pStyle w:val="964"/>
        <w:ind w:firstLine="480"/>
        <w:jc w:val="left"/>
        <w:spacing w:line="560" w:lineRule="exact"/>
        <w:rPr>
          <w:rFonts w:hAnsi="宋体"/>
          <w:sz w:val="24"/>
          <w:szCs w:val="24"/>
        </w:rPr>
      </w:pPr>
      <w:r>
        <w:rPr>
          <w:rFonts w:hAnsi="宋体"/>
          <w:bCs/>
          <w:sz w:val="24"/>
          <w:szCs w:val="24"/>
        </w:rPr>
        <w:t xml:space="preserve">9.1</w:t>
      </w:r>
      <w:r>
        <w:rPr>
          <w:rFonts w:hint="eastAsia" w:hAnsi="宋体"/>
          <w:bCs/>
          <w:sz w:val="24"/>
          <w:szCs w:val="24"/>
        </w:rPr>
        <w:t xml:space="preserve"> </w:t>
      </w:r>
      <w:r>
        <w:rPr>
          <w:rFonts w:hAnsi="宋体"/>
          <w:bCs/>
          <w:sz w:val="24"/>
          <w:szCs w:val="24"/>
        </w:rPr>
        <w:t xml:space="preserve">交 付 期：</w:t>
      </w:r>
      <w:r>
        <w:rPr>
          <w:rFonts w:hint="eastAsia" w:hAnsi="宋体"/>
          <w:sz w:val="24"/>
          <w:szCs w:val="24"/>
          <w:u w:val="single"/>
        </w:rPr>
        <w:t xml:space="preserve">           </w:t>
      </w:r>
      <w:r>
        <w:rPr>
          <w:rFonts w:hAnsi="宋体"/>
          <w:sz w:val="24"/>
          <w:szCs w:val="24"/>
        </w:rPr>
        <w:t xml:space="preserve">。   </w:t>
      </w:r>
      <w:r/>
    </w:p>
    <w:p>
      <w:pPr>
        <w:pStyle w:val="964"/>
        <w:ind w:firstLine="480"/>
        <w:jc w:val="left"/>
        <w:spacing w:line="560" w:lineRule="exact"/>
        <w:rPr>
          <w:rFonts w:hAnsi="宋体"/>
          <w:bCs/>
          <w:sz w:val="24"/>
          <w:szCs w:val="24"/>
        </w:rPr>
      </w:pPr>
      <w:r>
        <w:rPr>
          <w:rFonts w:hAnsi="宋体"/>
          <w:bCs/>
          <w:sz w:val="24"/>
          <w:szCs w:val="24"/>
        </w:rPr>
        <w:t xml:space="preserve">9.2</w:t>
      </w:r>
      <w:r>
        <w:rPr>
          <w:rFonts w:hint="eastAsia" w:hAnsi="宋体"/>
          <w:bCs/>
          <w:sz w:val="24"/>
          <w:szCs w:val="24"/>
        </w:rPr>
        <w:t xml:space="preserve"> </w:t>
      </w:r>
      <w:r>
        <w:rPr>
          <w:rFonts w:hAnsi="宋体"/>
          <w:bCs/>
          <w:sz w:val="24"/>
          <w:szCs w:val="24"/>
        </w:rPr>
        <w:t xml:space="preserve">交付方式：</w:t>
      </w:r>
      <w:r>
        <w:rPr>
          <w:rFonts w:hint="eastAsia" w:hAnsi="宋体"/>
          <w:sz w:val="24"/>
          <w:szCs w:val="24"/>
          <w:u w:val="single"/>
        </w:rPr>
        <w:t xml:space="preserve">          </w:t>
      </w:r>
      <w:r>
        <w:rPr>
          <w:rFonts w:hAnsi="宋体"/>
          <w:sz w:val="24"/>
          <w:szCs w:val="24"/>
        </w:rPr>
        <w:t xml:space="preserve">。</w:t>
      </w:r>
      <w:r/>
    </w:p>
    <w:p>
      <w:pPr>
        <w:pStyle w:val="964"/>
        <w:ind w:firstLine="480"/>
        <w:jc w:val="left"/>
        <w:spacing w:line="560" w:lineRule="exact"/>
        <w:rPr>
          <w:rFonts w:hAnsi="宋体"/>
          <w:b/>
          <w:sz w:val="24"/>
          <w:szCs w:val="24"/>
          <w:highlight w:val="none"/>
        </w:rPr>
      </w:pPr>
      <w:r>
        <w:rPr>
          <w:rFonts w:hAnsi="宋体"/>
          <w:bCs/>
          <w:sz w:val="24"/>
          <w:szCs w:val="24"/>
          <w:highlight w:val="none"/>
        </w:rPr>
        <w:t xml:space="preserve">9.3</w:t>
      </w:r>
      <w:r>
        <w:rPr>
          <w:rFonts w:hint="eastAsia" w:hAnsi="宋体"/>
          <w:bCs/>
          <w:sz w:val="24"/>
          <w:szCs w:val="24"/>
          <w:highlight w:val="none"/>
        </w:rPr>
        <w:t xml:space="preserve"> </w:t>
      </w:r>
      <w:r>
        <w:rPr>
          <w:rFonts w:hAnsi="宋体"/>
          <w:bCs/>
          <w:sz w:val="24"/>
          <w:szCs w:val="24"/>
          <w:highlight w:val="none"/>
        </w:rPr>
        <w:t xml:space="preserve">交付地点：</w:t>
      </w:r>
      <w:r>
        <w:rPr>
          <w:rFonts w:hint="eastAsia" w:hAnsi="宋体"/>
          <w:sz w:val="24"/>
          <w:szCs w:val="24"/>
          <w:highlight w:val="none"/>
          <w:u w:val="single"/>
        </w:rPr>
        <w:t xml:space="preserve">           </w:t>
      </w:r>
      <w:r>
        <w:rPr>
          <w:rFonts w:hAnsi="宋体"/>
          <w:sz w:val="24"/>
          <w:szCs w:val="24"/>
          <w:highlight w:val="none"/>
        </w:rPr>
        <w:t xml:space="preserve">。</w:t>
      </w:r>
      <w:r/>
    </w:p>
    <w:p>
      <w:pPr>
        <w:pStyle w:val="964"/>
        <w:ind w:firstLine="482"/>
        <w:jc w:val="left"/>
        <w:spacing w:line="560" w:lineRule="exact"/>
        <w:rPr>
          <w:rFonts w:ascii="Times New Roman" w:hAnsi="Times New Roman"/>
          <w:b/>
          <w:sz w:val="24"/>
          <w:szCs w:val="24"/>
          <w:highlight w:val="none"/>
        </w:rPr>
      </w:pPr>
      <w:r>
        <w:rPr>
          <w:rFonts w:ascii="Times New Roman" w:hAnsi="宋体"/>
          <w:b/>
          <w:sz w:val="24"/>
          <w:szCs w:val="24"/>
          <w:highlight w:val="none"/>
        </w:rPr>
        <w:t xml:space="preserve">十、合同款支付</w:t>
      </w:r>
      <w:r/>
    </w:p>
    <w:p>
      <w:pPr>
        <w:ind w:firstLine="480"/>
        <w:jc w:val="left"/>
        <w:spacing w:line="560" w:lineRule="exact"/>
        <w:rPr>
          <w:rFonts w:hAnsi="宋体"/>
          <w:bCs/>
          <w:sz w:val="24"/>
          <w:highlight w:val="none"/>
          <w:u w:val="single"/>
        </w:rPr>
      </w:pPr>
      <w:r>
        <w:rPr>
          <w:rFonts w:hAnsi="宋体"/>
          <w:bCs/>
          <w:sz w:val="24"/>
          <w:highlight w:val="none"/>
        </w:rPr>
        <w:t xml:space="preserve">10.1</w:t>
      </w:r>
      <w:r>
        <w:rPr>
          <w:rFonts w:hint="eastAsia" w:hAnsi="宋体"/>
          <w:bCs/>
          <w:sz w:val="24"/>
          <w:highlight w:val="none"/>
        </w:rPr>
        <w:t xml:space="preserve"> </w:t>
      </w:r>
      <w:r>
        <w:rPr>
          <w:rFonts w:hAnsi="宋体"/>
          <w:bCs/>
          <w:sz w:val="24"/>
          <w:highlight w:val="none"/>
        </w:rPr>
        <w:t xml:space="preserve">付款方式：</w:t>
      </w:r>
      <w:r>
        <w:rPr>
          <w:rFonts w:hint="eastAsia" w:hAnsi="宋体"/>
          <w:bCs/>
          <w:sz w:val="24"/>
          <w:highlight w:val="none"/>
          <w:u w:val="single"/>
        </w:rPr>
        <w:t xml:space="preserve">第一次付款：项目签订合同后，甲方收到乙方发票后的10个工作日内支付合同金额的</w:t>
      </w:r>
      <w:r>
        <w:rPr>
          <w:rFonts w:hint="eastAsia" w:hAnsi="宋体"/>
          <w:bCs/>
          <w:sz w:val="24"/>
          <w:highlight w:val="none"/>
          <w:u w:val="single"/>
          <w:lang w:val="en-US" w:eastAsia="zh-CN"/>
        </w:rPr>
        <w:t xml:space="preserve">3</w:t>
      </w:r>
      <w:r>
        <w:rPr>
          <w:rFonts w:hint="eastAsia" w:hAnsi="宋体"/>
          <w:bCs/>
          <w:sz w:val="24"/>
          <w:highlight w:val="none"/>
          <w:u w:val="single"/>
        </w:rPr>
        <w:t xml:space="preserve">0%；</w:t>
      </w:r>
      <w:r/>
    </w:p>
    <w:p>
      <w:pPr>
        <w:ind w:firstLine="480"/>
        <w:jc w:val="left"/>
        <w:spacing w:line="560" w:lineRule="exact"/>
        <w:rPr>
          <w:rFonts w:hAnsi="宋体"/>
          <w:b/>
          <w:sz w:val="24"/>
          <w:highlight w:val="none"/>
          <w:u w:val="single"/>
        </w:rPr>
      </w:pPr>
      <w:r>
        <w:rPr>
          <w:rFonts w:hint="eastAsia" w:hAnsi="宋体"/>
          <w:bCs/>
          <w:sz w:val="24"/>
          <w:highlight w:val="none"/>
          <w:u w:val="single"/>
        </w:rPr>
        <w:t xml:space="preserve">第二次付款：项目全部仪器设备到货并通过调试验收合格后10个工作日内支付合同金额的</w:t>
      </w:r>
      <w:r>
        <w:rPr>
          <w:rFonts w:hint="eastAsia" w:hAnsi="宋体"/>
          <w:bCs/>
          <w:sz w:val="24"/>
          <w:highlight w:val="none"/>
          <w:u w:val="single"/>
          <w:lang w:val="en-US" w:eastAsia="zh-CN"/>
        </w:rPr>
        <w:t xml:space="preserve">7</w:t>
      </w:r>
      <w:r>
        <w:rPr>
          <w:rFonts w:hint="eastAsia" w:hAnsi="宋体"/>
          <w:bCs/>
          <w:sz w:val="24"/>
          <w:highlight w:val="none"/>
          <w:u w:val="single"/>
        </w:rPr>
        <w:t xml:space="preserve">0%。</w:t>
      </w:r>
      <w:r/>
    </w:p>
    <w:p>
      <w:pPr>
        <w:pStyle w:val="964"/>
        <w:ind w:firstLine="480"/>
        <w:jc w:val="left"/>
        <w:spacing w:line="560" w:lineRule="exact"/>
        <w:rPr>
          <w:rFonts w:ascii="Times New Roman" w:hAnsi="Times New Roman"/>
          <w:bCs/>
          <w:sz w:val="24"/>
          <w:szCs w:val="24"/>
          <w:highlight w:val="none"/>
        </w:rPr>
      </w:pPr>
      <w:r>
        <w:rPr>
          <w:rFonts w:hAnsi="宋体"/>
          <w:bCs/>
          <w:sz w:val="24"/>
          <w:szCs w:val="24"/>
          <w:highlight w:val="none"/>
        </w:rPr>
        <w:t xml:space="preserve">10.2</w:t>
      </w:r>
      <w:r>
        <w:rPr>
          <w:rFonts w:hint="eastAsia" w:hAnsi="宋体"/>
          <w:bCs/>
          <w:sz w:val="24"/>
          <w:szCs w:val="24"/>
          <w:highlight w:val="none"/>
        </w:rPr>
        <w:t xml:space="preserve"> </w:t>
      </w:r>
      <w:r>
        <w:rPr>
          <w:rFonts w:ascii="Times New Roman" w:hAnsi="宋体"/>
          <w:sz w:val="24"/>
          <w:szCs w:val="24"/>
          <w:highlight w:val="none"/>
        </w:rPr>
        <w:t xml:space="preserve">当采购数量与实际使用数量不一致时，乙方根据实际使用量提供</w:t>
      </w:r>
      <w:r>
        <w:rPr>
          <w:rFonts w:hAnsi="宋体"/>
          <w:sz w:val="24"/>
          <w:szCs w:val="24"/>
          <w:highlight w:val="none"/>
        </w:rPr>
        <w:t xml:space="preserve">产品和服务</w:t>
      </w:r>
      <w:r>
        <w:rPr>
          <w:rFonts w:ascii="Times New Roman" w:hAnsi="宋体"/>
          <w:sz w:val="24"/>
          <w:szCs w:val="24"/>
          <w:highlight w:val="none"/>
        </w:rPr>
        <w:t xml:space="preserve">，合同的最终结算金额按实际使用量乘以中标单价进行计算。</w:t>
      </w:r>
      <w:r/>
    </w:p>
    <w:p>
      <w:pPr>
        <w:ind w:firstLine="482"/>
        <w:jc w:val="left"/>
        <w:spacing w:line="560" w:lineRule="exact"/>
        <w:rPr>
          <w:b/>
          <w:sz w:val="24"/>
          <w:highlight w:val="none"/>
        </w:rPr>
      </w:pPr>
      <w:r>
        <w:rPr>
          <w:rFonts w:hAnsi="宋体"/>
          <w:b/>
          <w:sz w:val="24"/>
          <w:highlight w:val="none"/>
        </w:rPr>
        <w:t xml:space="preserve">十一</w:t>
      </w:r>
      <w:r>
        <w:rPr>
          <w:rFonts w:hint="eastAsia"/>
          <w:b/>
          <w:sz w:val="24"/>
          <w:highlight w:val="none"/>
        </w:rPr>
        <w:t xml:space="preserve">、</w:t>
      </w:r>
      <w:r>
        <w:rPr>
          <w:rFonts w:hAnsi="宋体"/>
          <w:b/>
          <w:sz w:val="24"/>
          <w:highlight w:val="none"/>
        </w:rPr>
        <w:t xml:space="preserve">税费</w:t>
      </w:r>
      <w:r/>
    </w:p>
    <w:p>
      <w:pPr>
        <w:ind w:firstLine="480"/>
        <w:jc w:val="left"/>
        <w:spacing w:line="560" w:lineRule="exact"/>
        <w:rPr>
          <w:rFonts w:ascii="宋体" w:hAnsi="宋体" w:eastAsia="仿宋_GB2312"/>
          <w:sz w:val="24"/>
        </w:rPr>
      </w:pPr>
      <w:r>
        <w:rPr>
          <w:rFonts w:hint="eastAsia" w:ascii="宋体" w:hAnsi="宋体"/>
          <w:sz w:val="24"/>
        </w:rPr>
        <w:t xml:space="preserve">11.1 本合同执行中相关的一切税费均由乙方负担。</w:t>
      </w:r>
      <w:r/>
    </w:p>
    <w:p>
      <w:pPr>
        <w:pStyle w:val="964"/>
        <w:ind w:firstLine="482"/>
        <w:jc w:val="left"/>
        <w:spacing w:line="560" w:lineRule="exact"/>
        <w:rPr>
          <w:rFonts w:hAnsi="宋体"/>
          <w:sz w:val="24"/>
          <w:szCs w:val="24"/>
        </w:rPr>
      </w:pPr>
      <w:r>
        <w:rPr>
          <w:rFonts w:hAnsi="宋体"/>
          <w:b/>
          <w:sz w:val="24"/>
          <w:szCs w:val="24"/>
        </w:rPr>
        <w:t xml:space="preserve">十二、质量保证及售后服务</w:t>
      </w:r>
      <w:r/>
    </w:p>
    <w:p>
      <w:pPr>
        <w:pStyle w:val="964"/>
        <w:ind w:firstLine="480"/>
        <w:jc w:val="left"/>
        <w:spacing w:line="560" w:lineRule="exact"/>
        <w:rPr>
          <w:rFonts w:hAnsi="宋体"/>
          <w:sz w:val="24"/>
          <w:szCs w:val="24"/>
        </w:rPr>
      </w:pPr>
      <w:r>
        <w:rPr>
          <w:rFonts w:hAnsi="宋体"/>
          <w:sz w:val="24"/>
          <w:szCs w:val="24"/>
        </w:rPr>
        <w:t xml:space="preserve">12.1</w:t>
      </w:r>
      <w:r>
        <w:rPr>
          <w:rFonts w:hint="eastAsia" w:hAnsi="宋体"/>
          <w:sz w:val="24"/>
          <w:szCs w:val="24"/>
        </w:rPr>
        <w:t xml:space="preserve"> </w:t>
      </w:r>
      <w:r>
        <w:rPr>
          <w:rFonts w:hAnsi="宋体"/>
          <w:sz w:val="24"/>
          <w:szCs w:val="24"/>
        </w:rPr>
        <w:t xml:space="preserve">乙方应按招标文件规定和响应文件承诺的性能、技术要求、质量标准向甲方提供产品或服务。</w:t>
      </w:r>
      <w:r/>
    </w:p>
    <w:p>
      <w:pPr>
        <w:pStyle w:val="964"/>
        <w:ind w:firstLine="480"/>
        <w:jc w:val="left"/>
        <w:spacing w:line="560" w:lineRule="exact"/>
        <w:rPr>
          <w:rFonts w:hAnsi="宋体"/>
          <w:sz w:val="24"/>
          <w:szCs w:val="24"/>
        </w:rPr>
      </w:pPr>
      <w:r>
        <w:rPr>
          <w:rFonts w:hAnsi="宋体"/>
          <w:sz w:val="24"/>
          <w:szCs w:val="24"/>
        </w:rPr>
        <w:t xml:space="preserve">12.2</w:t>
      </w:r>
      <w:r>
        <w:rPr>
          <w:rFonts w:hint="eastAsia" w:hAnsi="宋体"/>
          <w:sz w:val="24"/>
          <w:szCs w:val="24"/>
        </w:rPr>
        <w:t xml:space="preserve"> </w:t>
      </w:r>
      <w:r>
        <w:rPr>
          <w:rFonts w:hAnsi="宋体"/>
          <w:sz w:val="24"/>
          <w:szCs w:val="24"/>
        </w:rPr>
        <w:t xml:space="preserve">乙方提供的产品或服务在质保期内因其本身出现质量问题，根据实际情况，经双方协商，可按以下办法处理：</w:t>
      </w:r>
      <w:r/>
    </w:p>
    <w:p>
      <w:pPr>
        <w:pStyle w:val="964"/>
        <w:ind w:firstLine="480"/>
        <w:jc w:val="left"/>
        <w:spacing w:line="560" w:lineRule="exact"/>
        <w:rPr>
          <w:rFonts w:hAnsi="宋体"/>
          <w:sz w:val="24"/>
          <w:szCs w:val="24"/>
        </w:rPr>
      </w:pPr>
      <w:r>
        <w:rPr>
          <w:rFonts w:hAnsi="宋体"/>
          <w:sz w:val="24"/>
          <w:szCs w:val="24"/>
        </w:rPr>
        <w:t xml:space="preserve">（1）更换：由乙方承担所发生的全部费用。</w:t>
      </w:r>
      <w:r/>
    </w:p>
    <w:p>
      <w:pPr>
        <w:pStyle w:val="964"/>
        <w:ind w:firstLine="480"/>
        <w:jc w:val="left"/>
        <w:spacing w:line="560" w:lineRule="exact"/>
        <w:rPr>
          <w:rFonts w:hAnsi="宋体"/>
          <w:sz w:val="24"/>
          <w:szCs w:val="24"/>
        </w:rPr>
      </w:pPr>
      <w:r>
        <w:rPr>
          <w:rFonts w:hAnsi="宋体"/>
          <w:sz w:val="24"/>
          <w:szCs w:val="24"/>
        </w:rPr>
        <w:t xml:space="preserve">（2）合同终止处理：合同终止，并退还甲方支付的合同款，同时应承担由此产生的所有费用，甲方不承担发生任何费用。</w:t>
      </w:r>
      <w:r/>
    </w:p>
    <w:p>
      <w:pPr>
        <w:pStyle w:val="964"/>
        <w:ind w:firstLine="480"/>
        <w:jc w:val="left"/>
        <w:spacing w:line="560" w:lineRule="exact"/>
        <w:rPr>
          <w:rFonts w:hAnsi="宋体"/>
          <w:sz w:val="24"/>
          <w:szCs w:val="24"/>
        </w:rPr>
      </w:pPr>
      <w:r>
        <w:rPr>
          <w:rFonts w:hAnsi="宋体"/>
          <w:sz w:val="24"/>
          <w:szCs w:val="24"/>
        </w:rPr>
        <w:t xml:space="preserve">12.3</w:t>
      </w:r>
      <w:r>
        <w:rPr>
          <w:rFonts w:hint="eastAsia" w:hAnsi="宋体"/>
          <w:sz w:val="24"/>
          <w:szCs w:val="24"/>
        </w:rPr>
        <w:t xml:space="preserve"> </w:t>
      </w:r>
      <w:r>
        <w:rPr>
          <w:rFonts w:hAnsi="宋体"/>
          <w:sz w:val="24"/>
          <w:szCs w:val="24"/>
        </w:rPr>
        <w:t xml:space="preserve">如在使用过程中发生质量问题，乙方在接到甲方通知后在</w:t>
      </w:r>
      <w:r>
        <w:rPr>
          <w:rFonts w:hAnsi="宋体"/>
          <w:sz w:val="24"/>
          <w:szCs w:val="24"/>
          <w:u w:val="single"/>
        </w:rPr>
        <w:t xml:space="preserve"> </w:t>
      </w:r>
      <w:r>
        <w:rPr>
          <w:rFonts w:hint="eastAsia" w:hAnsi="宋体"/>
          <w:sz w:val="24"/>
          <w:szCs w:val="24"/>
          <w:u w:val="single"/>
        </w:rPr>
        <w:t xml:space="preserve">2</w:t>
      </w:r>
      <w:r>
        <w:rPr>
          <w:rFonts w:hAnsi="宋体"/>
          <w:sz w:val="24"/>
          <w:szCs w:val="24"/>
          <w:u w:val="single"/>
        </w:rPr>
        <w:t xml:space="preserve"> </w:t>
      </w:r>
      <w:r>
        <w:rPr>
          <w:rFonts w:hAnsi="宋体"/>
          <w:sz w:val="24"/>
          <w:szCs w:val="24"/>
        </w:rPr>
        <w:t xml:space="preserve">小时内到达甲方现场。</w:t>
      </w:r>
      <w:r/>
    </w:p>
    <w:p>
      <w:pPr>
        <w:pStyle w:val="964"/>
        <w:ind w:firstLine="480"/>
        <w:jc w:val="left"/>
        <w:spacing w:line="560" w:lineRule="exact"/>
        <w:rPr>
          <w:rFonts w:hAnsi="宋体"/>
          <w:sz w:val="24"/>
          <w:szCs w:val="24"/>
        </w:rPr>
      </w:pPr>
      <w:r>
        <w:rPr>
          <w:rFonts w:hAnsi="宋体"/>
          <w:sz w:val="24"/>
          <w:szCs w:val="24"/>
        </w:rPr>
        <w:t xml:space="preserve">12.4</w:t>
      </w:r>
      <w:r>
        <w:rPr>
          <w:rFonts w:hint="eastAsia" w:hAnsi="宋体"/>
          <w:sz w:val="24"/>
          <w:szCs w:val="24"/>
        </w:rPr>
        <w:t xml:space="preserve"> </w:t>
      </w:r>
      <w:r>
        <w:rPr>
          <w:rFonts w:hAnsi="宋体"/>
          <w:sz w:val="24"/>
          <w:szCs w:val="24"/>
        </w:rPr>
        <w:t xml:space="preserve">在质保期内，乙方应对产品或服务出现的质量及安全问题负责处理解决并承担一切费用。</w:t>
      </w:r>
      <w:r/>
    </w:p>
    <w:p>
      <w:pPr>
        <w:pStyle w:val="964"/>
        <w:ind w:firstLine="482"/>
        <w:jc w:val="left"/>
        <w:spacing w:line="560" w:lineRule="exact"/>
        <w:rPr>
          <w:rFonts w:hAnsi="宋体"/>
          <w:b/>
          <w:sz w:val="24"/>
          <w:szCs w:val="24"/>
        </w:rPr>
      </w:pPr>
      <w:r>
        <w:rPr>
          <w:rFonts w:hAnsi="宋体"/>
          <w:b/>
          <w:sz w:val="24"/>
          <w:szCs w:val="24"/>
        </w:rPr>
        <w:t xml:space="preserve">十三、验收</w:t>
      </w:r>
      <w:r/>
    </w:p>
    <w:p>
      <w:pPr>
        <w:pStyle w:val="707"/>
        <w:ind w:firstLine="480"/>
        <w:jc w:val="left"/>
        <w:spacing w:line="560" w:lineRule="exact"/>
        <w:rPr>
          <w:rFonts w:hAnsi="宋体"/>
          <w:sz w:val="24"/>
          <w:szCs w:val="24"/>
        </w:rPr>
      </w:pPr>
      <w:r>
        <w:rPr>
          <w:rFonts w:hAnsi="宋体"/>
          <w:sz w:val="24"/>
          <w:szCs w:val="24"/>
        </w:rPr>
        <w:t xml:space="preserve">13.1</w:t>
      </w:r>
      <w:r>
        <w:rPr>
          <w:rFonts w:hint="eastAsia" w:hAnsi="宋体"/>
          <w:sz w:val="24"/>
          <w:szCs w:val="24"/>
        </w:rPr>
        <w:t xml:space="preserve"> </w:t>
      </w:r>
      <w:r>
        <w:rPr>
          <w:rFonts w:hAnsi="宋体"/>
          <w:sz w:val="24"/>
          <w:szCs w:val="24"/>
        </w:rPr>
        <w:t xml:space="preserve">甲方对乙方交付的产品或服务依据招标文件中的项目需求要求、乙方投标文件及国家有关质量标准进行验收。</w:t>
      </w:r>
      <w:r/>
    </w:p>
    <w:p>
      <w:pPr>
        <w:pStyle w:val="707"/>
        <w:ind w:firstLine="480"/>
        <w:jc w:val="left"/>
        <w:spacing w:line="560" w:lineRule="exact"/>
        <w:rPr>
          <w:rFonts w:hAnsi="宋体"/>
          <w:sz w:val="24"/>
          <w:szCs w:val="24"/>
        </w:rPr>
      </w:pPr>
      <w:r>
        <w:rPr>
          <w:rFonts w:hAnsi="宋体"/>
          <w:sz w:val="24"/>
          <w:szCs w:val="24"/>
        </w:rPr>
        <w:t xml:space="preserve">13.2</w:t>
      </w:r>
      <w:r>
        <w:rPr>
          <w:rFonts w:hint="eastAsia" w:hAnsi="宋体"/>
          <w:sz w:val="24"/>
          <w:szCs w:val="24"/>
        </w:rPr>
        <w:t xml:space="preserve"> </w:t>
      </w:r>
      <w:r>
        <w:rPr>
          <w:rFonts w:hAnsi="宋体"/>
          <w:sz w:val="24"/>
          <w:szCs w:val="24"/>
        </w:rPr>
        <w:t xml:space="preserve">乙方交付前应对产品或服务作出全面检查和对验收文件进行整理，并列出清单，作为甲方验收和使用的技术条件依据，检验的结果应随交付内容一并提交甲方。</w:t>
      </w:r>
      <w:r/>
    </w:p>
    <w:p>
      <w:pPr>
        <w:pStyle w:val="707"/>
        <w:ind w:firstLine="480"/>
        <w:jc w:val="left"/>
        <w:spacing w:line="560" w:lineRule="exact"/>
        <w:rPr>
          <w:rFonts w:hAnsi="宋体"/>
          <w:sz w:val="24"/>
          <w:szCs w:val="24"/>
        </w:rPr>
      </w:pPr>
      <w:r>
        <w:rPr>
          <w:rFonts w:hAnsi="宋体"/>
          <w:sz w:val="24"/>
          <w:szCs w:val="24"/>
        </w:rPr>
        <w:t xml:space="preserve">13.3</w:t>
      </w:r>
      <w:r>
        <w:rPr>
          <w:rFonts w:hint="eastAsia" w:hAnsi="宋体"/>
          <w:sz w:val="24"/>
          <w:szCs w:val="24"/>
        </w:rPr>
        <w:t xml:space="preserve"> </w:t>
      </w:r>
      <w:r>
        <w:rPr>
          <w:rFonts w:hAnsi="宋体"/>
          <w:sz w:val="24"/>
          <w:szCs w:val="24"/>
        </w:rPr>
        <w:t xml:space="preserve">甲方对乙方提供的产品或服务在使用前，乙方需负责培训甲方的使用操作人员，并协助甲方一起试用，直到符合技术要求，甲方才做最终验收。</w:t>
      </w:r>
      <w:r/>
    </w:p>
    <w:p>
      <w:pPr>
        <w:pStyle w:val="707"/>
        <w:ind w:firstLine="480"/>
        <w:jc w:val="left"/>
        <w:spacing w:line="560" w:lineRule="exact"/>
        <w:rPr>
          <w:rFonts w:hAnsi="宋体"/>
          <w:sz w:val="24"/>
          <w:szCs w:val="24"/>
        </w:rPr>
      </w:pPr>
      <w:r>
        <w:rPr>
          <w:rFonts w:hAnsi="宋体"/>
          <w:sz w:val="24"/>
          <w:szCs w:val="24"/>
        </w:rPr>
        <w:t xml:space="preserve">13.4</w:t>
      </w:r>
      <w:r>
        <w:rPr>
          <w:rFonts w:hint="eastAsia" w:hAnsi="宋体"/>
          <w:sz w:val="24"/>
          <w:szCs w:val="24"/>
        </w:rPr>
        <w:t xml:space="preserve"> </w:t>
      </w:r>
      <w:r>
        <w:rPr>
          <w:rFonts w:hAnsi="宋体"/>
          <w:sz w:val="24"/>
          <w:szCs w:val="24"/>
        </w:rPr>
        <w:t xml:space="preserve">对技术复杂的产品或服务，甲方可请国家认可的专业检测机构参与初步验收及最终验收，并由其出具质量检测报告。</w:t>
      </w:r>
      <w:r/>
    </w:p>
    <w:p>
      <w:pPr>
        <w:pStyle w:val="707"/>
        <w:ind w:firstLine="480"/>
        <w:jc w:val="left"/>
        <w:spacing w:line="560" w:lineRule="exact"/>
        <w:rPr>
          <w:rFonts w:hAnsi="宋体"/>
          <w:sz w:val="24"/>
          <w:szCs w:val="24"/>
        </w:rPr>
      </w:pPr>
      <w:r>
        <w:rPr>
          <w:rFonts w:hAnsi="宋体"/>
          <w:sz w:val="24"/>
          <w:szCs w:val="24"/>
        </w:rPr>
        <w:t xml:space="preserve">13.5</w:t>
      </w:r>
      <w:r>
        <w:rPr>
          <w:rFonts w:hint="eastAsia" w:hAnsi="宋体"/>
          <w:sz w:val="24"/>
          <w:szCs w:val="24"/>
        </w:rPr>
        <w:t xml:space="preserve"> </w:t>
      </w:r>
      <w:r>
        <w:rPr>
          <w:rFonts w:hAnsi="宋体"/>
          <w:sz w:val="24"/>
          <w:szCs w:val="24"/>
        </w:rPr>
        <w:t xml:space="preserve">验收时乙方必须在现场，验收完毕后做出验收结果报告，招标文件规定以外的验收费用由甲乙双方协商解决。</w:t>
      </w:r>
      <w:r/>
    </w:p>
    <w:p>
      <w:pPr>
        <w:pStyle w:val="964"/>
        <w:ind w:firstLine="482"/>
        <w:jc w:val="left"/>
        <w:spacing w:line="560" w:lineRule="exact"/>
        <w:rPr>
          <w:rFonts w:hAnsi="宋体"/>
          <w:b/>
          <w:sz w:val="24"/>
          <w:szCs w:val="24"/>
        </w:rPr>
      </w:pPr>
      <w:r>
        <w:rPr>
          <w:rFonts w:hAnsi="宋体"/>
          <w:b/>
          <w:sz w:val="24"/>
          <w:szCs w:val="24"/>
        </w:rPr>
        <w:t xml:space="preserve">十四、合同内容的交付</w:t>
      </w:r>
      <w:r/>
    </w:p>
    <w:p>
      <w:pPr>
        <w:pStyle w:val="964"/>
        <w:ind w:firstLine="480"/>
        <w:jc w:val="left"/>
        <w:spacing w:line="560" w:lineRule="exact"/>
        <w:rPr>
          <w:rFonts w:hAnsi="宋体"/>
          <w:sz w:val="24"/>
          <w:szCs w:val="24"/>
        </w:rPr>
      </w:pPr>
      <w:r>
        <w:rPr>
          <w:rFonts w:hAnsi="宋体"/>
          <w:sz w:val="24"/>
          <w:szCs w:val="24"/>
        </w:rPr>
        <w:t xml:space="preserve">14.1</w:t>
      </w:r>
      <w:r>
        <w:rPr>
          <w:rFonts w:hint="eastAsia" w:hAnsi="宋体"/>
          <w:sz w:val="24"/>
          <w:szCs w:val="24"/>
        </w:rPr>
        <w:t xml:space="preserve"> </w:t>
      </w:r>
      <w:r>
        <w:rPr>
          <w:rFonts w:hAnsi="宋体"/>
          <w:sz w:val="24"/>
          <w:szCs w:val="24"/>
        </w:rPr>
        <w:t xml:space="preserve">乙方应保证合同标的安全运达甲方指定地点。</w:t>
      </w:r>
      <w:r/>
    </w:p>
    <w:p>
      <w:pPr>
        <w:pStyle w:val="964"/>
        <w:ind w:firstLine="480"/>
        <w:jc w:val="left"/>
        <w:spacing w:line="560" w:lineRule="exact"/>
        <w:rPr>
          <w:rFonts w:hAnsi="宋体"/>
          <w:sz w:val="24"/>
          <w:szCs w:val="24"/>
        </w:rPr>
      </w:pPr>
      <w:r>
        <w:rPr>
          <w:rFonts w:hAnsi="宋体"/>
          <w:sz w:val="24"/>
          <w:szCs w:val="24"/>
        </w:rPr>
        <w:t xml:space="preserve">14.2 使用说明书、质量检验证明书一并提交甲方。</w:t>
      </w:r>
      <w:r/>
    </w:p>
    <w:p>
      <w:pPr>
        <w:pStyle w:val="964"/>
        <w:ind w:firstLine="480"/>
        <w:jc w:val="left"/>
        <w:spacing w:line="560" w:lineRule="exact"/>
        <w:rPr>
          <w:rFonts w:hAnsi="宋体"/>
          <w:sz w:val="24"/>
          <w:szCs w:val="24"/>
        </w:rPr>
      </w:pPr>
      <w:r>
        <w:rPr>
          <w:rFonts w:hAnsi="宋体"/>
          <w:sz w:val="24"/>
          <w:szCs w:val="24"/>
        </w:rPr>
        <w:t xml:space="preserve">14.3 乙方在合同标的交付甲方48小时前通知甲方准备接收。</w:t>
      </w:r>
      <w:r/>
    </w:p>
    <w:p>
      <w:pPr>
        <w:pStyle w:val="964"/>
        <w:ind w:firstLine="480"/>
        <w:jc w:val="left"/>
        <w:spacing w:line="560" w:lineRule="exact"/>
        <w:rPr>
          <w:rFonts w:hAnsi="宋体"/>
          <w:sz w:val="24"/>
          <w:szCs w:val="24"/>
        </w:rPr>
      </w:pPr>
      <w:r>
        <w:rPr>
          <w:rFonts w:hAnsi="宋体"/>
          <w:sz w:val="24"/>
          <w:szCs w:val="24"/>
        </w:rPr>
        <w:t xml:space="preserve">14.4 合同标的在交付甲方前发生的风险均由乙方负责。</w:t>
      </w:r>
      <w:r/>
    </w:p>
    <w:p>
      <w:pPr>
        <w:pStyle w:val="964"/>
        <w:ind w:firstLine="480"/>
        <w:jc w:val="left"/>
        <w:spacing w:line="560" w:lineRule="exact"/>
        <w:rPr>
          <w:rFonts w:hAnsi="宋体"/>
          <w:sz w:val="24"/>
          <w:szCs w:val="24"/>
        </w:rPr>
      </w:pPr>
      <w:r>
        <w:rPr>
          <w:rFonts w:hAnsi="宋体"/>
          <w:sz w:val="24"/>
          <w:szCs w:val="24"/>
        </w:rPr>
        <w:t xml:space="preserve">14.5 合同标的在规定的交付期限内由乙方送达甲方指定的地点视为交付，乙方同时需通知甲方已送达。</w:t>
      </w:r>
      <w:r/>
    </w:p>
    <w:p>
      <w:pPr>
        <w:pStyle w:val="964"/>
        <w:ind w:firstLine="482"/>
        <w:jc w:val="left"/>
        <w:spacing w:line="560" w:lineRule="exact"/>
        <w:rPr>
          <w:rFonts w:hAnsi="宋体"/>
          <w:b/>
          <w:sz w:val="24"/>
          <w:szCs w:val="24"/>
        </w:rPr>
      </w:pPr>
      <w:r>
        <w:rPr>
          <w:rFonts w:hAnsi="宋体"/>
          <w:b/>
          <w:sz w:val="24"/>
          <w:szCs w:val="24"/>
        </w:rPr>
        <w:t xml:space="preserve">十五、违约责任</w:t>
      </w:r>
      <w:r/>
    </w:p>
    <w:p>
      <w:pPr>
        <w:pStyle w:val="964"/>
        <w:ind w:firstLine="480"/>
        <w:jc w:val="left"/>
        <w:spacing w:line="560" w:lineRule="exact"/>
        <w:rPr>
          <w:rFonts w:hAnsi="宋体"/>
          <w:sz w:val="24"/>
          <w:szCs w:val="24"/>
        </w:rPr>
      </w:pPr>
      <w:r>
        <w:rPr>
          <w:rFonts w:hAnsi="宋体"/>
          <w:sz w:val="24"/>
          <w:szCs w:val="24"/>
        </w:rPr>
        <w:t xml:space="preserve">15.1</w:t>
      </w:r>
      <w:r>
        <w:rPr>
          <w:rFonts w:hint="eastAsia" w:hAnsi="宋体"/>
          <w:sz w:val="24"/>
          <w:szCs w:val="24"/>
        </w:rPr>
        <w:t xml:space="preserve"> </w:t>
      </w:r>
      <w:r>
        <w:rPr>
          <w:rFonts w:hAnsi="宋体"/>
          <w:sz w:val="24"/>
          <w:szCs w:val="24"/>
        </w:rPr>
        <w:t xml:space="preserve">甲方无正当理由拒收的，甲方向乙方偿付拒收货款总值的百分之五违约金。</w:t>
      </w:r>
      <w:r/>
    </w:p>
    <w:p>
      <w:pPr>
        <w:pStyle w:val="964"/>
        <w:ind w:firstLine="480"/>
        <w:jc w:val="left"/>
        <w:spacing w:line="560" w:lineRule="exact"/>
        <w:rPr>
          <w:rFonts w:hAnsi="宋体"/>
          <w:sz w:val="24"/>
          <w:szCs w:val="24"/>
        </w:rPr>
      </w:pPr>
      <w:r>
        <w:rPr>
          <w:rFonts w:hAnsi="宋体"/>
          <w:sz w:val="24"/>
          <w:szCs w:val="24"/>
        </w:rPr>
        <w:t xml:space="preserve">15.2 甲方无故逾期验收和办理合同款支付手续的,甲方应按逾期付款总额每日万分之五向乙方支付违约金。</w:t>
      </w:r>
      <w:r/>
    </w:p>
    <w:p>
      <w:pPr>
        <w:pStyle w:val="964"/>
        <w:ind w:firstLine="480"/>
        <w:jc w:val="left"/>
        <w:spacing w:line="560" w:lineRule="exact"/>
        <w:rPr>
          <w:rFonts w:hAnsi="宋体"/>
          <w:sz w:val="24"/>
          <w:szCs w:val="24"/>
        </w:rPr>
      </w:pPr>
      <w:r>
        <w:rPr>
          <w:rFonts w:hAnsi="宋体"/>
          <w:sz w:val="24"/>
          <w:szCs w:val="24"/>
        </w:rPr>
        <w:t xml:space="preserve">15.3 乙方逾期交付合同标的的，乙方应按逾期交货总额每日千分之六向甲方支付违约金，由甲方从待付合同款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964"/>
        <w:ind w:firstLine="480"/>
        <w:jc w:val="left"/>
        <w:spacing w:line="560" w:lineRule="exact"/>
        <w:rPr>
          <w:rFonts w:hAnsi="宋体"/>
          <w:sz w:val="24"/>
          <w:szCs w:val="24"/>
        </w:rPr>
      </w:pPr>
      <w:r>
        <w:rPr>
          <w:rFonts w:hAnsi="宋体"/>
          <w:sz w:val="24"/>
          <w:szCs w:val="24"/>
        </w:rPr>
        <w:t xml:space="preserve">15.4 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p>
    <w:p>
      <w:pPr>
        <w:pStyle w:val="964"/>
        <w:ind w:firstLine="482"/>
        <w:jc w:val="left"/>
        <w:spacing w:line="560" w:lineRule="exact"/>
        <w:rPr>
          <w:rFonts w:hAnsi="宋体"/>
          <w:b/>
          <w:sz w:val="24"/>
          <w:szCs w:val="24"/>
        </w:rPr>
      </w:pPr>
      <w:r>
        <w:rPr>
          <w:rFonts w:hAnsi="宋体"/>
          <w:b/>
          <w:sz w:val="24"/>
          <w:szCs w:val="24"/>
        </w:rPr>
        <w:t xml:space="preserve">十六、不可抗力事件处理</w:t>
      </w:r>
      <w:r/>
    </w:p>
    <w:p>
      <w:pPr>
        <w:pStyle w:val="964"/>
        <w:ind w:firstLine="480"/>
        <w:jc w:val="left"/>
        <w:spacing w:line="560" w:lineRule="exact"/>
        <w:rPr>
          <w:rFonts w:hAnsi="宋体"/>
          <w:sz w:val="24"/>
          <w:szCs w:val="24"/>
        </w:rPr>
      </w:pPr>
      <w:r>
        <w:rPr>
          <w:rFonts w:hAnsi="宋体"/>
          <w:sz w:val="24"/>
          <w:szCs w:val="24"/>
        </w:rPr>
        <w:t xml:space="preserve">16.1 在合同有效期内，任何一方因不可抗力事件导致不能履行合同，则合同履行期延长，其延长期与不可抗力影响期相同。</w:t>
      </w:r>
      <w:r/>
    </w:p>
    <w:p>
      <w:pPr>
        <w:pStyle w:val="964"/>
        <w:ind w:firstLine="480"/>
        <w:jc w:val="left"/>
        <w:spacing w:line="560" w:lineRule="exact"/>
        <w:rPr>
          <w:rFonts w:hAnsi="宋体"/>
          <w:sz w:val="24"/>
          <w:szCs w:val="24"/>
        </w:rPr>
      </w:pPr>
      <w:r>
        <w:rPr>
          <w:rFonts w:hAnsi="宋体"/>
          <w:sz w:val="24"/>
          <w:szCs w:val="24"/>
        </w:rPr>
        <w:t xml:space="preserve">16.2 不可抗力事件发生后，应立即通知对方，并寄送有关权威机构出具的证明。</w:t>
      </w:r>
      <w:r/>
    </w:p>
    <w:p>
      <w:pPr>
        <w:pStyle w:val="964"/>
        <w:ind w:firstLine="480"/>
        <w:jc w:val="left"/>
        <w:spacing w:line="560" w:lineRule="exact"/>
        <w:rPr>
          <w:rFonts w:hAnsi="宋体"/>
          <w:sz w:val="24"/>
          <w:szCs w:val="24"/>
        </w:rPr>
      </w:pPr>
      <w:r>
        <w:rPr>
          <w:rFonts w:hAnsi="宋体"/>
          <w:sz w:val="24"/>
          <w:szCs w:val="24"/>
        </w:rPr>
        <w:t xml:space="preserve">16.3</w:t>
      </w:r>
      <w:r>
        <w:rPr>
          <w:rFonts w:hint="eastAsia" w:hAnsi="宋体"/>
          <w:sz w:val="24"/>
          <w:szCs w:val="24"/>
        </w:rPr>
        <w:t xml:space="preserve"> </w:t>
      </w:r>
      <w:r>
        <w:rPr>
          <w:rFonts w:hAnsi="宋体"/>
          <w:sz w:val="24"/>
          <w:szCs w:val="24"/>
        </w:rPr>
        <w:t xml:space="preserve">不可抗力事件延续120天以上，双方应通过友好协商，确定是否继续履行合同。</w:t>
      </w:r>
      <w:r/>
    </w:p>
    <w:p>
      <w:pPr>
        <w:pStyle w:val="964"/>
        <w:ind w:firstLine="482"/>
        <w:jc w:val="left"/>
        <w:spacing w:line="560" w:lineRule="exact"/>
        <w:rPr>
          <w:rFonts w:hAnsi="宋体"/>
          <w:b/>
          <w:sz w:val="24"/>
          <w:szCs w:val="24"/>
        </w:rPr>
      </w:pPr>
      <w:r>
        <w:rPr>
          <w:rFonts w:hAnsi="宋体"/>
          <w:b/>
          <w:sz w:val="24"/>
          <w:szCs w:val="24"/>
        </w:rPr>
        <w:t xml:space="preserve">十七、争议解决</w:t>
      </w:r>
      <w:r/>
    </w:p>
    <w:p>
      <w:pPr>
        <w:pStyle w:val="964"/>
        <w:ind w:firstLine="480"/>
        <w:jc w:val="left"/>
        <w:spacing w:line="560" w:lineRule="exact"/>
        <w:rPr>
          <w:rFonts w:hAnsi="宋体"/>
          <w:sz w:val="24"/>
          <w:szCs w:val="24"/>
        </w:rPr>
      </w:pPr>
      <w:r>
        <w:rPr>
          <w:rFonts w:hAnsi="宋体"/>
          <w:sz w:val="24"/>
          <w:szCs w:val="24"/>
        </w:rPr>
        <w:t xml:space="preserve">17.1</w:t>
      </w:r>
      <w:r>
        <w:rPr>
          <w:rFonts w:hint="eastAsia" w:hAnsi="宋体"/>
          <w:sz w:val="24"/>
          <w:szCs w:val="24"/>
        </w:rPr>
        <w:t xml:space="preserve"> 双方在执行合同中所发生的一切争议，应通过协商解决。如协商不成，可向合同签订地法院起诉，合同签订地在此约定为连云港市。</w:t>
      </w:r>
      <w:r/>
    </w:p>
    <w:p>
      <w:pPr>
        <w:pStyle w:val="964"/>
        <w:ind w:firstLine="482"/>
        <w:jc w:val="left"/>
        <w:spacing w:line="560" w:lineRule="exact"/>
        <w:rPr>
          <w:rFonts w:hAnsi="宋体"/>
          <w:b/>
          <w:sz w:val="24"/>
          <w:szCs w:val="24"/>
        </w:rPr>
      </w:pPr>
      <w:r>
        <w:rPr>
          <w:rFonts w:hAnsi="宋体"/>
          <w:b/>
          <w:sz w:val="24"/>
          <w:szCs w:val="24"/>
        </w:rPr>
        <w:t xml:space="preserve">十八、合同生效及其它</w:t>
      </w:r>
      <w:r/>
    </w:p>
    <w:p>
      <w:pPr>
        <w:pStyle w:val="964"/>
        <w:ind w:firstLine="480"/>
        <w:jc w:val="left"/>
        <w:spacing w:line="560" w:lineRule="exact"/>
        <w:rPr>
          <w:rFonts w:hAnsi="宋体"/>
          <w:sz w:val="24"/>
          <w:szCs w:val="24"/>
        </w:rPr>
      </w:pPr>
      <w:r>
        <w:rPr>
          <w:rFonts w:hAnsi="宋体"/>
          <w:sz w:val="24"/>
          <w:szCs w:val="24"/>
        </w:rPr>
        <w:t xml:space="preserve">18.1</w:t>
      </w:r>
      <w:r>
        <w:rPr>
          <w:rFonts w:hint="eastAsia" w:hAnsi="宋体"/>
          <w:sz w:val="24"/>
          <w:szCs w:val="24"/>
        </w:rPr>
        <w:t xml:space="preserve"> </w:t>
      </w:r>
      <w:r>
        <w:rPr>
          <w:rFonts w:hAnsi="宋体"/>
          <w:sz w:val="24"/>
          <w:szCs w:val="24"/>
        </w:rPr>
        <w:t xml:space="preserve">合同经双方法定代表人或委托代理人签字并加盖单位公章后生效。</w:t>
      </w:r>
      <w:r/>
    </w:p>
    <w:p>
      <w:pPr>
        <w:pStyle w:val="964"/>
        <w:ind w:firstLine="480"/>
        <w:jc w:val="left"/>
        <w:spacing w:line="560" w:lineRule="exact"/>
        <w:rPr>
          <w:rFonts w:hAnsi="宋体"/>
          <w:sz w:val="24"/>
          <w:szCs w:val="24"/>
        </w:rPr>
      </w:pPr>
      <w:r>
        <w:rPr>
          <w:rFonts w:hAnsi="宋体"/>
          <w:sz w:val="24"/>
          <w:szCs w:val="24"/>
        </w:rPr>
        <w:t xml:space="preserve">18.2</w:t>
      </w:r>
      <w:r>
        <w:rPr>
          <w:rFonts w:hint="eastAsia" w:hAnsi="宋体"/>
          <w:sz w:val="24"/>
          <w:szCs w:val="24"/>
        </w:rPr>
        <w:t xml:space="preserve"> </w:t>
      </w:r>
      <w:r>
        <w:rPr>
          <w:rFonts w:hAnsi="宋体"/>
          <w:sz w:val="24"/>
          <w:szCs w:val="24"/>
        </w:rPr>
        <w:t xml:space="preserve">本合同未尽事宜，遵照《中华人民共和国民法典》有关条文执行。</w:t>
      </w:r>
      <w:r/>
    </w:p>
    <w:p>
      <w:pPr>
        <w:pStyle w:val="964"/>
        <w:ind w:firstLine="480"/>
        <w:jc w:val="left"/>
        <w:spacing w:line="560" w:lineRule="exact"/>
        <w:rPr>
          <w:rFonts w:hAnsi="宋体"/>
          <w:sz w:val="24"/>
          <w:szCs w:val="24"/>
        </w:rPr>
      </w:pPr>
      <w:r>
        <w:rPr>
          <w:rFonts w:hAnsi="宋体"/>
          <w:sz w:val="24"/>
          <w:szCs w:val="24"/>
        </w:rPr>
        <w:t xml:space="preserve">18.3</w:t>
      </w:r>
      <w:r>
        <w:rPr>
          <w:rFonts w:hint="eastAsia" w:hAnsi="宋体"/>
          <w:sz w:val="24"/>
          <w:szCs w:val="24"/>
        </w:rPr>
        <w:t xml:space="preserve"> </w:t>
      </w:r>
      <w:r>
        <w:rPr>
          <w:rFonts w:hAnsi="宋体"/>
          <w:sz w:val="24"/>
          <w:szCs w:val="24"/>
        </w:rPr>
        <w:t xml:space="preserve">本合同正本一式</w:t>
      </w:r>
      <w:r>
        <w:rPr>
          <w:rFonts w:hint="eastAsia" w:hAnsi="宋体"/>
          <w:sz w:val="24"/>
          <w:szCs w:val="24"/>
        </w:rPr>
        <w:t xml:space="preserve">肆</w:t>
      </w:r>
      <w:r>
        <w:rPr>
          <w:rFonts w:hAnsi="宋体"/>
          <w:sz w:val="24"/>
          <w:szCs w:val="24"/>
        </w:rPr>
        <w:t xml:space="preserve">份，具有同等法律效力，甲方、乙方各执</w:t>
      </w:r>
      <w:r>
        <w:rPr>
          <w:rFonts w:hint="eastAsia" w:hAnsi="宋体"/>
          <w:sz w:val="24"/>
          <w:szCs w:val="24"/>
        </w:rPr>
        <w:t xml:space="preserve">二</w:t>
      </w:r>
      <w:r>
        <w:rPr>
          <w:rFonts w:hAnsi="宋体"/>
          <w:sz w:val="24"/>
          <w:szCs w:val="24"/>
        </w:rPr>
        <w:t xml:space="preserve">份。</w:t>
      </w:r>
      <w:r/>
    </w:p>
    <w:p>
      <w:pPr>
        <w:pStyle w:val="964"/>
        <w:ind w:firstLine="360"/>
        <w:jc w:val="left"/>
        <w:spacing w:line="560" w:lineRule="exact"/>
        <w:rPr>
          <w:rFonts w:hAnsi="宋体"/>
          <w:sz w:val="24"/>
          <w:szCs w:val="24"/>
        </w:rPr>
      </w:pPr>
      <w:r>
        <w:rPr>
          <w:rFonts w:hAnsi="宋体"/>
          <w:sz w:val="24"/>
          <w:szCs w:val="24"/>
        </w:rPr>
      </w:r>
      <w:r/>
    </w:p>
    <w:p>
      <w:pPr>
        <w:pStyle w:val="964"/>
        <w:ind w:firstLine="480"/>
        <w:jc w:val="left"/>
        <w:spacing w:line="560" w:lineRule="exact"/>
        <w:rPr>
          <w:rFonts w:hAnsi="宋体"/>
          <w:sz w:val="24"/>
          <w:szCs w:val="24"/>
        </w:rPr>
      </w:pPr>
      <w:r>
        <w:rPr>
          <w:rFonts w:hint="eastAsia" w:hAnsi="宋体"/>
          <w:sz w:val="24"/>
          <w:szCs w:val="24"/>
        </w:rPr>
        <w:t xml:space="preserve">甲方：                                  乙方：                     </w:t>
      </w:r>
      <w:r/>
    </w:p>
    <w:p>
      <w:pPr>
        <w:pStyle w:val="964"/>
        <w:ind w:firstLine="480"/>
        <w:jc w:val="left"/>
        <w:spacing w:line="560" w:lineRule="exact"/>
        <w:rPr>
          <w:rFonts w:hAnsi="宋体"/>
          <w:sz w:val="24"/>
          <w:szCs w:val="24"/>
        </w:rPr>
      </w:pPr>
      <w:r>
        <w:rPr>
          <w:rFonts w:hint="eastAsia" w:hAnsi="宋体"/>
          <w:sz w:val="24"/>
          <w:szCs w:val="24"/>
        </w:rPr>
        <w:t xml:space="preserve">地址：                                  地址：                     </w:t>
      </w:r>
      <w:r/>
    </w:p>
    <w:p>
      <w:pPr>
        <w:pStyle w:val="964"/>
        <w:ind w:firstLine="480"/>
        <w:jc w:val="left"/>
        <w:spacing w:line="560" w:lineRule="exact"/>
        <w:rPr>
          <w:rFonts w:hAnsi="宋体"/>
          <w:sz w:val="24"/>
          <w:szCs w:val="24"/>
        </w:rPr>
      </w:pPr>
      <w:r>
        <w:rPr>
          <w:rFonts w:hint="eastAsia" w:hAnsi="宋体"/>
          <w:sz w:val="24"/>
          <w:szCs w:val="24"/>
        </w:rPr>
        <w:t xml:space="preserve">法定代表人：                            法定代表人：               </w:t>
      </w:r>
      <w:r/>
    </w:p>
    <w:p>
      <w:pPr>
        <w:pStyle w:val="964"/>
        <w:ind w:firstLine="480"/>
        <w:jc w:val="left"/>
        <w:spacing w:line="560" w:lineRule="exact"/>
        <w:rPr>
          <w:rFonts w:hAnsi="宋体"/>
          <w:sz w:val="24"/>
          <w:szCs w:val="24"/>
        </w:rPr>
      </w:pPr>
      <w:r>
        <w:rPr>
          <w:rFonts w:hint="eastAsia" w:hAnsi="宋体"/>
          <w:sz w:val="24"/>
          <w:szCs w:val="24"/>
        </w:rPr>
        <w:t xml:space="preserve">委托代理人：                            委托代理人：           </w:t>
      </w:r>
      <w:r/>
    </w:p>
    <w:p>
      <w:pPr>
        <w:pStyle w:val="964"/>
        <w:ind w:firstLine="480"/>
        <w:jc w:val="left"/>
        <w:spacing w:line="560" w:lineRule="exact"/>
        <w:rPr>
          <w:rFonts w:hAnsi="宋体"/>
          <w:sz w:val="24"/>
          <w:szCs w:val="24"/>
        </w:rPr>
      </w:pPr>
      <w:r>
        <w:rPr>
          <w:rFonts w:hint="eastAsia" w:hAnsi="宋体"/>
          <w:sz w:val="24"/>
          <w:szCs w:val="24"/>
        </w:rPr>
        <w:t xml:space="preserve">电话：                                  电话：                     </w:t>
      </w:r>
      <w:r/>
    </w:p>
    <w:p>
      <w:pPr>
        <w:pStyle w:val="964"/>
        <w:ind w:firstLine="480"/>
        <w:jc w:val="left"/>
        <w:spacing w:line="560" w:lineRule="exact"/>
        <w:rPr>
          <w:rFonts w:hAnsi="宋体"/>
          <w:sz w:val="24"/>
          <w:szCs w:val="24"/>
        </w:rPr>
      </w:pPr>
      <w:r>
        <w:rPr>
          <w:rFonts w:hint="eastAsia" w:hAnsi="宋体"/>
          <w:sz w:val="24"/>
          <w:szCs w:val="24"/>
        </w:rPr>
        <w:t xml:space="preserve">传真：                                  传真：                     </w:t>
      </w:r>
      <w:r/>
    </w:p>
    <w:p>
      <w:pPr>
        <w:pStyle w:val="964"/>
        <w:ind w:firstLine="480"/>
        <w:jc w:val="left"/>
        <w:spacing w:line="560" w:lineRule="exact"/>
        <w:rPr>
          <w:rFonts w:hAnsi="宋体"/>
          <w:sz w:val="24"/>
          <w:szCs w:val="24"/>
        </w:rPr>
      </w:pPr>
      <w:r>
        <w:rPr>
          <w:rFonts w:hint="eastAsia" w:hAnsi="宋体"/>
          <w:sz w:val="24"/>
          <w:szCs w:val="24"/>
        </w:rPr>
        <w:t xml:space="preserve">签订日期：      年  月  日</w:t>
      </w:r>
      <w:r/>
    </w:p>
    <w:p>
      <w:pPr>
        <w:jc w:val="left"/>
        <w:widowControl/>
        <w:rPr>
          <w:color w:val="000000"/>
          <w:sz w:val="24"/>
          <w:szCs w:val="24"/>
        </w:rPr>
      </w:pPr>
      <w:r>
        <w:rPr>
          <w:color w:val="000000"/>
          <w:sz w:val="24"/>
          <w:szCs w:val="24"/>
        </w:rPr>
      </w:r>
      <w:r/>
    </w:p>
    <w:p>
      <w:pPr>
        <w:jc w:val="left"/>
        <w:widowControl/>
        <w:rPr>
          <w:color w:val="000000"/>
          <w:sz w:val="24"/>
          <w:szCs w:val="24"/>
        </w:rPr>
      </w:pPr>
      <w:r>
        <w:rPr>
          <w:color w:val="000000"/>
          <w:sz w:val="24"/>
          <w:szCs w:val="24"/>
        </w:rPr>
      </w:r>
      <w:r/>
    </w:p>
    <w:p>
      <w:pPr>
        <w:jc w:val="left"/>
        <w:widowControl/>
        <w:rPr>
          <w:color w:val="000000"/>
          <w:sz w:val="24"/>
          <w:szCs w:val="24"/>
        </w:rPr>
      </w:pPr>
      <w:r>
        <w:rPr>
          <w:color w:val="000000"/>
          <w:sz w:val="24"/>
          <w:szCs w:val="24"/>
        </w:rPr>
      </w:r>
      <w:r/>
    </w:p>
    <w:p>
      <w:pPr>
        <w:jc w:val="left"/>
        <w:widowControl/>
        <w:rPr>
          <w:color w:val="000000"/>
          <w:sz w:val="24"/>
          <w:szCs w:val="24"/>
        </w:rPr>
      </w:pPr>
      <w:r>
        <w:rPr>
          <w:color w:val="000000"/>
          <w:sz w:val="24"/>
          <w:szCs w:val="24"/>
        </w:rPr>
      </w:r>
      <w:r/>
    </w:p>
    <w:p>
      <w:pPr>
        <w:jc w:val="left"/>
        <w:widowControl/>
        <w:rPr>
          <w:color w:val="000000"/>
          <w:sz w:val="24"/>
          <w:szCs w:val="24"/>
        </w:rPr>
      </w:pPr>
      <w:r>
        <w:rPr>
          <w:color w:val="000000"/>
          <w:sz w:val="24"/>
          <w:szCs w:val="24"/>
        </w:rPr>
      </w:r>
      <w:r/>
    </w:p>
    <w:p>
      <w:pPr>
        <w:jc w:val="left"/>
        <w:widowControl/>
        <w:rPr>
          <w:color w:val="000000"/>
          <w:sz w:val="24"/>
          <w:szCs w:val="24"/>
        </w:rPr>
      </w:pPr>
      <w:r>
        <w:rPr>
          <w:color w:val="000000"/>
          <w:sz w:val="24"/>
          <w:szCs w:val="24"/>
        </w:rPr>
      </w:r>
      <w:r/>
    </w:p>
    <w:p>
      <w:pPr>
        <w:jc w:val="left"/>
        <w:widowControl/>
        <w:rPr>
          <w:color w:val="000000"/>
          <w:sz w:val="24"/>
          <w:szCs w:val="24"/>
        </w:rPr>
      </w:pPr>
      <w:r>
        <w:rPr>
          <w:color w:val="000000"/>
          <w:sz w:val="24"/>
          <w:szCs w:val="24"/>
        </w:rPr>
      </w:r>
      <w:r/>
    </w:p>
    <w:p>
      <w:pPr>
        <w:jc w:val="left"/>
        <w:widowControl/>
        <w:rPr>
          <w:color w:val="000000"/>
          <w:sz w:val="24"/>
          <w:szCs w:val="24"/>
        </w:rPr>
      </w:pPr>
      <w:r>
        <w:rPr>
          <w:color w:val="000000"/>
          <w:sz w:val="24"/>
          <w:szCs w:val="24"/>
        </w:rPr>
      </w:r>
      <w:r/>
    </w:p>
    <w:p>
      <w:pPr>
        <w:jc w:val="left"/>
        <w:widowControl/>
        <w:rPr>
          <w:color w:val="000000"/>
          <w:sz w:val="24"/>
          <w:szCs w:val="24"/>
        </w:rPr>
      </w:pPr>
      <w:r>
        <w:rPr>
          <w:color w:val="000000"/>
          <w:sz w:val="24"/>
          <w:szCs w:val="24"/>
        </w:rPr>
      </w:r>
      <w:r/>
    </w:p>
    <w:p>
      <w:pPr>
        <w:jc w:val="left"/>
        <w:widowControl/>
        <w:rPr>
          <w:color w:val="000000"/>
          <w:sz w:val="24"/>
          <w:szCs w:val="24"/>
        </w:rPr>
      </w:pPr>
      <w:r>
        <w:rPr>
          <w:color w:val="000000"/>
          <w:sz w:val="24"/>
          <w:szCs w:val="24"/>
        </w:rPr>
      </w:r>
      <w:r/>
    </w:p>
    <w:p>
      <w:pPr>
        <w:jc w:val="left"/>
        <w:widowControl/>
        <w:rPr>
          <w:color w:val="000000"/>
          <w:sz w:val="24"/>
          <w:szCs w:val="24"/>
        </w:rPr>
      </w:pPr>
      <w:r>
        <w:rPr>
          <w:color w:val="000000"/>
          <w:sz w:val="24"/>
          <w:szCs w:val="24"/>
        </w:rPr>
      </w:r>
      <w:r/>
    </w:p>
    <w:p>
      <w:pPr>
        <w:jc w:val="left"/>
        <w:widowControl/>
        <w:rPr>
          <w:color w:val="000000"/>
          <w:sz w:val="24"/>
          <w:szCs w:val="24"/>
        </w:rPr>
      </w:pPr>
      <w:r>
        <w:rPr>
          <w:color w:val="000000"/>
          <w:sz w:val="24"/>
          <w:szCs w:val="24"/>
        </w:rPr>
      </w:r>
      <w:r/>
    </w:p>
    <w:p>
      <w:pPr>
        <w:jc w:val="left"/>
        <w:widowControl/>
        <w:rPr>
          <w:color w:val="000000"/>
          <w:sz w:val="24"/>
          <w:szCs w:val="24"/>
        </w:rPr>
      </w:pPr>
      <w:r>
        <w:rPr>
          <w:color w:val="000000"/>
          <w:sz w:val="24"/>
          <w:szCs w:val="24"/>
        </w:rPr>
      </w:r>
      <w:r/>
    </w:p>
    <w:p>
      <w:pPr>
        <w:jc w:val="left"/>
        <w:widowControl/>
        <w:rPr>
          <w:color w:val="000000"/>
          <w:sz w:val="24"/>
          <w:szCs w:val="24"/>
        </w:rPr>
      </w:pPr>
      <w:r>
        <w:rPr>
          <w:color w:val="000000"/>
          <w:sz w:val="24"/>
          <w:szCs w:val="24"/>
        </w:rPr>
      </w:r>
      <w:r/>
    </w:p>
    <w:p>
      <w:pPr>
        <w:jc w:val="left"/>
        <w:widowControl/>
        <w:rPr>
          <w:color w:val="000000"/>
          <w:sz w:val="24"/>
          <w:szCs w:val="24"/>
        </w:rPr>
      </w:pPr>
      <w:r>
        <w:rPr>
          <w:color w:val="000000"/>
          <w:sz w:val="24"/>
          <w:szCs w:val="24"/>
        </w:rPr>
      </w:r>
      <w:r/>
    </w:p>
    <w:p>
      <w:pPr>
        <w:rPr>
          <w:rFonts w:ascii="黑体" w:hAnsi="黑体" w:eastAsia="黑体"/>
          <w:color w:val="000000"/>
        </w:rPr>
      </w:pPr>
      <w:r/>
      <w:bookmarkStart w:id="7" w:name="_Toc27103"/>
      <w:r/>
      <w:r/>
    </w:p>
    <w:p>
      <w:pPr>
        <w:rPr>
          <w:rFonts w:ascii="黑体" w:hAnsi="黑体" w:eastAsia="黑体"/>
          <w:color w:val="000000"/>
        </w:rPr>
      </w:pPr>
      <w:r>
        <w:rPr>
          <w:rFonts w:ascii="黑体" w:hAnsi="黑体" w:eastAsia="黑体"/>
          <w:color w:val="000000"/>
        </w:rPr>
      </w:r>
      <w:r/>
    </w:p>
    <w:p>
      <w:pPr>
        <w:rPr>
          <w:rFonts w:ascii="黑体" w:hAnsi="黑体" w:eastAsia="黑体"/>
          <w:color w:val="000000"/>
        </w:rPr>
      </w:pPr>
      <w:r>
        <w:rPr>
          <w:rFonts w:ascii="黑体" w:hAnsi="黑体" w:eastAsia="黑体"/>
          <w:color w:val="000000"/>
        </w:rPr>
      </w:r>
      <w:r/>
    </w:p>
    <w:p>
      <w:pPr>
        <w:rPr>
          <w:rFonts w:ascii="黑体" w:hAnsi="黑体" w:eastAsia="黑体"/>
          <w:color w:val="000000"/>
        </w:rPr>
      </w:pPr>
      <w:r>
        <w:rPr>
          <w:rFonts w:ascii="黑体" w:hAnsi="黑体" w:eastAsia="黑体"/>
          <w:color w:val="000000"/>
        </w:rPr>
      </w:r>
      <w:r/>
    </w:p>
    <w:p>
      <w:pPr>
        <w:rPr>
          <w:rFonts w:ascii="黑体" w:hAnsi="黑体" w:eastAsia="黑体"/>
          <w:color w:val="000000"/>
        </w:rPr>
      </w:pPr>
      <w:r>
        <w:rPr>
          <w:rFonts w:ascii="黑体" w:hAnsi="黑体" w:eastAsia="黑体"/>
          <w:color w:val="000000"/>
        </w:rPr>
      </w:r>
      <w:r/>
    </w:p>
    <w:p>
      <w:pPr>
        <w:rPr>
          <w:rFonts w:ascii="黑体" w:hAnsi="黑体" w:eastAsia="黑体"/>
          <w:color w:val="000000"/>
        </w:rPr>
      </w:pPr>
      <w:r>
        <w:rPr>
          <w:rFonts w:ascii="黑体" w:hAnsi="黑体" w:eastAsia="黑体"/>
          <w:color w:val="000000"/>
        </w:rPr>
      </w:r>
      <w:r/>
    </w:p>
    <w:p>
      <w:pPr>
        <w:rPr>
          <w:rFonts w:ascii="黑体" w:hAnsi="黑体" w:eastAsia="黑体"/>
          <w:color w:val="000000"/>
        </w:rPr>
      </w:pPr>
      <w:r>
        <w:rPr>
          <w:rFonts w:ascii="黑体" w:hAnsi="黑体" w:eastAsia="黑体"/>
          <w:color w:val="000000"/>
        </w:rPr>
      </w:r>
      <w:r/>
    </w:p>
    <w:p>
      <w:pPr>
        <w:rPr>
          <w:rFonts w:ascii="黑体" w:hAnsi="黑体" w:eastAsia="黑体"/>
          <w:color w:val="000000"/>
        </w:rPr>
      </w:pPr>
      <w:r>
        <w:rPr>
          <w:rFonts w:ascii="黑体" w:hAnsi="黑体" w:eastAsia="黑体"/>
          <w:color w:val="000000"/>
        </w:rPr>
      </w:r>
      <w:r/>
    </w:p>
    <w:p>
      <w:pPr>
        <w:rPr>
          <w:rFonts w:ascii="黑体" w:hAnsi="黑体" w:eastAsia="黑体"/>
          <w:color w:val="000000"/>
        </w:rPr>
      </w:pPr>
      <w:r>
        <w:rPr>
          <w:rFonts w:ascii="黑体" w:hAnsi="黑体" w:eastAsia="黑体"/>
          <w:color w:val="000000"/>
        </w:rPr>
      </w:r>
      <w:r/>
    </w:p>
    <w:p>
      <w:pPr>
        <w:rPr>
          <w:rFonts w:ascii="黑体" w:hAnsi="黑体" w:eastAsia="黑体"/>
          <w:color w:val="000000"/>
        </w:rPr>
      </w:pPr>
      <w:r>
        <w:rPr>
          <w:rFonts w:ascii="黑体" w:hAnsi="黑体" w:eastAsia="黑体"/>
          <w:color w:val="000000"/>
        </w:rPr>
      </w:r>
      <w:r/>
    </w:p>
    <w:p>
      <w:pPr>
        <w:rPr>
          <w:rFonts w:ascii="黑体" w:hAnsi="黑体" w:eastAsia="黑体"/>
          <w:color w:val="000000"/>
        </w:rPr>
      </w:pPr>
      <w:r>
        <w:rPr>
          <w:rFonts w:ascii="黑体" w:hAnsi="黑体" w:eastAsia="黑体"/>
          <w:color w:val="000000"/>
        </w:rPr>
      </w:r>
      <w:r/>
    </w:p>
    <w:p>
      <w:pPr>
        <w:rPr>
          <w:rFonts w:ascii="黑体" w:hAnsi="黑体" w:eastAsia="黑体"/>
          <w:color w:val="000000"/>
        </w:rPr>
      </w:pPr>
      <w:r>
        <w:rPr>
          <w:rFonts w:ascii="黑体" w:hAnsi="黑体" w:eastAsia="黑体"/>
          <w:color w:val="000000"/>
        </w:rPr>
      </w:r>
      <w:r/>
    </w:p>
    <w:p>
      <w:pPr>
        <w:rPr>
          <w:rFonts w:ascii="黑体" w:hAnsi="黑体" w:eastAsia="黑体"/>
          <w:color w:val="000000"/>
        </w:rPr>
      </w:pPr>
      <w:r>
        <w:rPr>
          <w:rFonts w:ascii="黑体" w:hAnsi="黑体" w:eastAsia="黑体"/>
          <w:color w:val="000000"/>
        </w:rPr>
      </w:r>
      <w:r/>
    </w:p>
    <w:p>
      <w:pPr>
        <w:rPr>
          <w:rFonts w:ascii="黑体" w:hAnsi="黑体" w:eastAsia="黑体"/>
          <w:color w:val="000000"/>
        </w:rPr>
      </w:pPr>
      <w:r>
        <w:rPr>
          <w:rFonts w:ascii="黑体" w:hAnsi="黑体" w:eastAsia="黑体"/>
          <w:color w:val="000000"/>
        </w:rPr>
      </w:r>
      <w:r/>
    </w:p>
    <w:p>
      <w:pPr>
        <w:rPr>
          <w:rFonts w:ascii="黑体" w:hAnsi="黑体" w:eastAsia="黑体"/>
          <w:color w:val="000000"/>
        </w:rPr>
      </w:pPr>
      <w:r>
        <w:rPr>
          <w:rFonts w:ascii="黑体" w:hAnsi="黑体" w:eastAsia="黑体"/>
          <w:color w:val="000000"/>
        </w:rPr>
      </w:r>
      <w:r/>
    </w:p>
    <w:p>
      <w:pPr>
        <w:rPr>
          <w:rFonts w:ascii="黑体" w:hAnsi="黑体" w:eastAsia="黑体"/>
          <w:color w:val="000000"/>
        </w:rPr>
      </w:pPr>
      <w:r>
        <w:rPr>
          <w:rFonts w:ascii="黑体" w:hAnsi="黑体" w:eastAsia="黑体"/>
          <w:color w:val="000000"/>
        </w:rPr>
      </w:r>
      <w:r/>
    </w:p>
    <w:p>
      <w:pPr>
        <w:pStyle w:val="690"/>
        <w:jc w:val="center"/>
        <w:spacing w:line="360" w:lineRule="auto"/>
        <w:rPr>
          <w:rFonts w:ascii="宋体" w:hAnsi="宋体" w:cs="宋体"/>
          <w:color w:val="000000"/>
          <w:sz w:val="24"/>
          <w:szCs w:val="24"/>
        </w:rPr>
      </w:pPr>
      <w:r>
        <w:rPr>
          <w:rFonts w:hint="eastAsia" w:ascii="黑体" w:hAnsi="黑体" w:eastAsia="黑体"/>
          <w:b w:val="0"/>
          <w:color w:val="000000"/>
        </w:rPr>
        <w:t xml:space="preserve">第四章  采购需求</w:t>
      </w:r>
      <w:bookmarkEnd w:id="7"/>
      <w:r/>
      <w:r/>
    </w:p>
    <w:p>
      <w:pPr>
        <w:ind w:firstLine="482"/>
        <w:jc w:val="left"/>
        <w:spacing w:line="360" w:lineRule="auto"/>
        <w:rPr>
          <w:rFonts w:ascii="宋体" w:hAnsi="宋体" w:cs="宋体"/>
          <w:b/>
          <w:color w:val="000000"/>
          <w:sz w:val="24"/>
          <w:szCs w:val="24"/>
        </w:rPr>
      </w:pPr>
      <w:r>
        <w:rPr>
          <w:rFonts w:hint="eastAsia" w:ascii="宋体" w:hAnsi="宋体" w:cs="宋体"/>
          <w:b/>
          <w:color w:val="000000"/>
          <w:sz w:val="24"/>
          <w:szCs w:val="24"/>
        </w:rPr>
        <w:t xml:space="preserve">说明：本项目属性为</w:t>
      </w:r>
      <w:r>
        <w:rPr>
          <w:rFonts w:hint="eastAsia" w:ascii="宋体" w:hAnsi="宋体" w:cs="宋体"/>
          <w:b/>
          <w:color w:val="000000"/>
          <w:sz w:val="24"/>
          <w:szCs w:val="24"/>
          <w:u w:val="single"/>
        </w:rPr>
        <w:t xml:space="preserve">货物类项目</w:t>
      </w:r>
      <w:r>
        <w:rPr>
          <w:rFonts w:hint="eastAsia" w:ascii="宋体" w:hAnsi="宋体" w:cs="宋体"/>
          <w:b/>
          <w:color w:val="000000"/>
          <w:sz w:val="24"/>
          <w:szCs w:val="24"/>
        </w:rPr>
        <w:t xml:space="preserve">，采购标的对应的中小企业划分标准所属行业为：</w:t>
      </w:r>
      <w:r>
        <w:rPr>
          <w:rFonts w:hint="eastAsia" w:ascii="宋体" w:hAnsi="宋体" w:cs="宋体"/>
          <w:b/>
          <w:bCs/>
          <w:color w:val="000000"/>
          <w:sz w:val="24"/>
          <w:szCs w:val="24"/>
          <w:u w:val="single"/>
        </w:rPr>
        <w:t xml:space="preserve">工业</w:t>
      </w:r>
      <w:r>
        <w:rPr>
          <w:rFonts w:hint="eastAsia" w:ascii="宋体" w:hAnsi="宋体" w:cs="宋体"/>
          <w:b/>
          <w:color w:val="000000"/>
          <w:sz w:val="24"/>
          <w:szCs w:val="24"/>
        </w:rPr>
        <w:t xml:space="preserve">。</w:t>
      </w:r>
      <w:r/>
    </w:p>
    <w:p>
      <w:pPr>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根据《关于印发中小企业划型标准规定的通知》(工信部联企业(2011)300号)规定：</w:t>
      </w:r>
      <w:r/>
    </w:p>
    <w:p>
      <w:pPr>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工业行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jc w:val="left"/>
        <w:spacing w:line="500" w:lineRule="exact"/>
        <w:rPr>
          <w:rFonts w:ascii="宋体" w:hAnsi="宋体" w:cs="宋体"/>
          <w:color w:val="000000"/>
          <w:sz w:val="24"/>
          <w:szCs w:val="24"/>
        </w:rPr>
      </w:pPr>
      <w:r>
        <w:rPr>
          <w:rFonts w:hint="eastAsia" w:ascii="宋体" w:hAnsi="宋体" w:cs="宋体"/>
          <w:color w:val="000000"/>
          <w:sz w:val="24"/>
          <w:szCs w:val="24"/>
        </w:rPr>
        <w:t xml:space="preserve">1.根据《政府采购需求管理办法》等有关规定，采购人确定采购需求。</w:t>
      </w:r>
      <w:r/>
    </w:p>
    <w:p>
      <w:pPr>
        <w:ind w:firstLine="480"/>
        <w:jc w:val="left"/>
        <w:spacing w:line="500" w:lineRule="exact"/>
        <w:rPr>
          <w:rFonts w:ascii="宋体" w:hAnsi="宋体" w:cs="宋体"/>
          <w:color w:val="000000"/>
          <w:sz w:val="24"/>
          <w:szCs w:val="24"/>
        </w:rPr>
      </w:pPr>
      <w:r>
        <w:rPr>
          <w:rFonts w:hint="eastAsia" w:ascii="宋体" w:hAnsi="宋体" w:cs="宋体"/>
          <w:color w:val="000000"/>
          <w:sz w:val="24"/>
          <w:szCs w:val="24"/>
        </w:rPr>
        <w:t xml:space="preserve">2.</w:t>
      </w:r>
      <w:r>
        <w:rPr>
          <w:rFonts w:hint="eastAsia" w:ascii="Times New Roman" w:hAnsi="Times New Roman" w:eastAsia="宋体"/>
          <w:b/>
          <w:sz w:val="22"/>
          <w:szCs w:val="28"/>
        </w:rPr>
        <w:t xml:space="preserve">本招标文件中</w:t>
      </w:r>
      <w:r>
        <w:rPr>
          <w:rFonts w:hint="eastAsia" w:ascii="Times New Roman" w:hAnsi="Times New Roman" w:eastAsia="宋体"/>
          <w:b/>
          <w:i/>
          <w:sz w:val="22"/>
          <w:szCs w:val="28"/>
          <w:u w:val="single"/>
        </w:rPr>
        <w:t xml:space="preserve">斜体且有下划线部分</w:t>
      </w:r>
      <w:r>
        <w:rPr>
          <w:rFonts w:hint="eastAsia" w:ascii="Times New Roman" w:hAnsi="Times New Roman" w:eastAsia="宋体"/>
          <w:b/>
          <w:sz w:val="22"/>
          <w:szCs w:val="28"/>
        </w:rPr>
        <w:t xml:space="preserve">为实质性要求和条件</w:t>
      </w:r>
      <w:r>
        <w:rPr>
          <w:rFonts w:hint="eastAsia" w:ascii="宋体" w:hAnsi="宋体" w:cs="宋体"/>
          <w:color w:val="000000"/>
          <w:sz w:val="28"/>
          <w:szCs w:val="28"/>
        </w:rPr>
        <w:t xml:space="preserve">，</w:t>
      </w:r>
      <w:r>
        <w:rPr>
          <w:rFonts w:hint="eastAsia" w:ascii="宋体" w:hAnsi="宋体" w:cs="宋体"/>
          <w:color w:val="000000"/>
          <w:sz w:val="24"/>
          <w:szCs w:val="24"/>
        </w:rPr>
        <w:t xml:space="preserve">由采购人根据实际情况设置，投标人必须逐条明确作出满足实质性要求和条件的响应，否则将按无效投标处理。</w:t>
      </w:r>
      <w:r/>
    </w:p>
    <w:p>
      <w:pPr>
        <w:rPr>
          <w:color w:val="000000"/>
          <w:sz w:val="24"/>
          <w:szCs w:val="24"/>
        </w:rPr>
      </w:pPr>
      <w:r>
        <w:rPr>
          <w:color w:val="000000"/>
          <w:sz w:val="24"/>
          <w:szCs w:val="24"/>
        </w:rPr>
      </w:r>
      <w:r/>
    </w:p>
    <w:tbl>
      <w:tblPr>
        <w:tblStyle w:val="7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8"/>
        <w:gridCol w:w="7939"/>
        <w:gridCol w:w="724"/>
      </w:tblGrid>
      <w:tr>
        <w:trPr>
          <w:jc w:val="center"/>
        </w:trPr>
        <w:tc>
          <w:tcPr>
            <w:gridSpan w:val="2"/>
            <w:tcBorders>
              <w:top w:val="none" w:color="000000" w:sz="4" w:space="0"/>
              <w:left w:val="none" w:color="000000" w:sz="4" w:space="0"/>
              <w:bottom w:val="single" w:color="auto" w:sz="4" w:space="0"/>
              <w:right w:val="none" w:color="000000" w:sz="4" w:space="0"/>
            </w:tcBorders>
            <w:tcW w:w="8637" w:type="dxa"/>
            <w:vAlign w:val="center"/>
            <w:textDirection w:val="lrTb"/>
            <w:noWrap w:val="false"/>
          </w:tcPr>
          <w:p>
            <w:pPr>
              <w:jc w:val="center"/>
              <w:spacing w:line="500" w:lineRule="exact"/>
              <w:rPr>
                <w:rFonts w:ascii="黑体" w:hAnsi="黑体" w:eastAsia="黑体"/>
                <w:sz w:val="24"/>
                <w:szCs w:val="24"/>
              </w:rPr>
            </w:pPr>
            <w:r/>
            <w:bookmarkStart w:id="8" w:name="_Toc29664"/>
            <w:r>
              <w:rPr>
                <w:rFonts w:ascii="黑体" w:hAnsi="黑体" w:eastAsia="黑体"/>
                <w:sz w:val="24"/>
                <w:szCs w:val="24"/>
              </w:rPr>
              <w:t xml:space="preserve">采购需求中须满足的实质性要求和条件</w:t>
            </w:r>
            <w:r/>
          </w:p>
        </w:tc>
        <w:tc>
          <w:tcPr>
            <w:tcBorders>
              <w:top w:val="none" w:color="000000" w:sz="4" w:space="0"/>
              <w:left w:val="none" w:color="000000" w:sz="4" w:space="0"/>
              <w:bottom w:val="single" w:color="auto" w:sz="4" w:space="0"/>
              <w:right w:val="none" w:color="000000" w:sz="4" w:space="0"/>
            </w:tcBorders>
            <w:tcW w:w="724" w:type="dxa"/>
            <w:vAlign w:val="center"/>
            <w:textDirection w:val="lrTb"/>
            <w:noWrap w:val="false"/>
          </w:tcPr>
          <w:p>
            <w:pPr>
              <w:jc w:val="center"/>
              <w:spacing w:line="500" w:lineRule="exact"/>
              <w:rPr>
                <w:rFonts w:ascii="黑体" w:hAnsi="黑体" w:eastAsia="黑体"/>
                <w:sz w:val="24"/>
                <w:szCs w:val="24"/>
              </w:rPr>
            </w:pPr>
            <w:r>
              <w:rPr>
                <w:rFonts w:ascii="黑体" w:hAnsi="黑体" w:eastAsia="黑体"/>
                <w:sz w:val="24"/>
                <w:szCs w:val="24"/>
              </w:rPr>
            </w:r>
            <w:r/>
          </w:p>
        </w:tc>
      </w:tr>
      <w:tr>
        <w:trPr>
          <w:jc w:val="center"/>
        </w:trPr>
        <w:tc>
          <w:tcPr>
            <w:tcBorders>
              <w:top w:val="single" w:color="auto" w:sz="4" w:space="0"/>
            </w:tcBorders>
            <w:tcW w:w="0" w:type="auto"/>
            <w:textDirection w:val="lrTb"/>
            <w:noWrap w:val="false"/>
          </w:tcPr>
          <w:p>
            <w:pPr>
              <w:jc w:val="center"/>
              <w:spacing w:line="500" w:lineRule="exact"/>
              <w:rPr>
                <w:b/>
                <w:sz w:val="24"/>
                <w:szCs w:val="24"/>
              </w:rPr>
            </w:pPr>
            <w:r>
              <w:rPr>
                <w:b/>
                <w:sz w:val="24"/>
                <w:szCs w:val="24"/>
              </w:rPr>
              <w:t xml:space="preserve">序号</w:t>
            </w:r>
            <w:r/>
          </w:p>
        </w:tc>
        <w:tc>
          <w:tcPr>
            <w:tcBorders>
              <w:top w:val="single" w:color="auto" w:sz="4" w:space="0"/>
            </w:tcBorders>
            <w:tcW w:w="7939" w:type="dxa"/>
            <w:textDirection w:val="lrTb"/>
            <w:noWrap w:val="false"/>
          </w:tcPr>
          <w:p>
            <w:pPr>
              <w:jc w:val="center"/>
              <w:spacing w:line="500" w:lineRule="exact"/>
              <w:rPr>
                <w:b/>
                <w:sz w:val="24"/>
                <w:szCs w:val="24"/>
              </w:rPr>
            </w:pPr>
            <w:r>
              <w:rPr>
                <w:b/>
                <w:sz w:val="24"/>
                <w:szCs w:val="24"/>
              </w:rPr>
              <w:t xml:space="preserve">实质性要求和条件</w:t>
            </w:r>
            <w:r/>
          </w:p>
        </w:tc>
        <w:tc>
          <w:tcPr>
            <w:tcBorders>
              <w:top w:val="single" w:color="auto" w:sz="4" w:space="0"/>
            </w:tcBorders>
            <w:tcW w:w="724" w:type="dxa"/>
            <w:textDirection w:val="lrTb"/>
            <w:noWrap w:val="false"/>
          </w:tcPr>
          <w:p>
            <w:pPr>
              <w:jc w:val="center"/>
              <w:spacing w:line="500" w:lineRule="exact"/>
              <w:rPr>
                <w:b/>
                <w:sz w:val="24"/>
                <w:szCs w:val="24"/>
              </w:rPr>
            </w:pPr>
            <w:r>
              <w:rPr>
                <w:rFonts w:hint="eastAsia"/>
                <w:b/>
                <w:sz w:val="24"/>
                <w:szCs w:val="24"/>
              </w:rPr>
              <w:t xml:space="preserve">备注</w:t>
            </w:r>
            <w:r/>
          </w:p>
        </w:tc>
      </w:tr>
      <w:tr>
        <w:trPr>
          <w:jc w:val="center"/>
        </w:trPr>
        <w:tc>
          <w:tcPr>
            <w:tcW w:w="0" w:type="auto"/>
            <w:vAlign w:val="center"/>
            <w:textDirection w:val="lrTb"/>
            <w:noWrap w:val="false"/>
          </w:tcPr>
          <w:p>
            <w:pPr>
              <w:jc w:val="center"/>
              <w:spacing w:line="500" w:lineRule="exact"/>
              <w:rPr>
                <w:rFonts w:hint="default" w:eastAsia="宋体"/>
                <w:sz w:val="24"/>
                <w:szCs w:val="24"/>
                <w:lang w:val="en-US" w:eastAsia="zh-CN"/>
              </w:rPr>
            </w:pPr>
            <w:r>
              <w:rPr>
                <w:rFonts w:hint="eastAsia"/>
                <w:sz w:val="24"/>
                <w:szCs w:val="24"/>
                <w:lang w:val="en-US" w:eastAsia="zh-CN"/>
              </w:rPr>
              <w:t xml:space="preserve">1</w:t>
            </w:r>
            <w:r/>
          </w:p>
        </w:tc>
        <w:tc>
          <w:tcPr>
            <w:tcW w:w="7939" w:type="dxa"/>
            <w:vAlign w:val="center"/>
            <w:textDirection w:val="lrTb"/>
            <w:noWrap w:val="false"/>
          </w:tcPr>
          <w:p>
            <w:pPr>
              <w:pStyle w:val="966"/>
              <w:ind w:left="0" w:firstLine="0"/>
              <w:rPr>
                <w:rFonts w:hint="eastAsia"/>
                <w:b/>
                <w:bCs/>
                <w:i w:val="0"/>
                <w:iCs w:val="0"/>
                <w:u w:val="none"/>
              </w:rPr>
            </w:pPr>
            <w:r>
              <w:rPr>
                <w:rFonts w:hint="eastAsia"/>
                <w:b/>
                <w:bCs/>
                <w:i w:val="0"/>
                <w:iCs w:val="0"/>
                <w:u w:val="none"/>
              </w:rPr>
              <w:t xml:space="preserve">全自动水质分析仪器单元</w:t>
            </w:r>
            <w:r/>
          </w:p>
          <w:p>
            <w:pPr>
              <w:pStyle w:val="966"/>
              <w:ind w:left="0" w:firstLine="0"/>
              <w:rPr>
                <w:rFonts w:hint="eastAsia"/>
                <w:i/>
                <w:iCs/>
                <w:u w:val="single"/>
              </w:rPr>
            </w:pPr>
            <w:r>
              <w:rPr>
                <w:rFonts w:hint="eastAsia"/>
                <w:i/>
                <w:iCs/>
                <w:u w:val="single"/>
              </w:rPr>
              <w:t xml:space="preserve">2.1.2.</w:t>
            </w:r>
            <w:r>
              <w:rPr>
                <w:rFonts w:hint="eastAsia"/>
                <w:i/>
                <w:iCs/>
                <w:u w:val="single"/>
                <w:lang w:val="en-US" w:eastAsia="zh-CN"/>
              </w:rPr>
              <w:t xml:space="preserve">符合的标准</w:t>
            </w:r>
            <w:r>
              <w:rPr>
                <w:rFonts w:hint="eastAsia"/>
                <w:i/>
                <w:iCs/>
                <w:u w:val="single"/>
              </w:rPr>
              <w:t xml:space="preserve">要求</w:t>
            </w:r>
            <w:r/>
          </w:p>
          <w:p>
            <w:pPr>
              <w:pStyle w:val="966"/>
              <w:ind w:left="0" w:firstLine="0"/>
              <w:rPr>
                <w:rFonts w:hint="eastAsia"/>
                <w:i/>
                <w:iCs/>
                <w:u w:val="single"/>
              </w:rPr>
            </w:pPr>
            <w:r>
              <w:rPr>
                <w:rFonts w:hint="eastAsia"/>
                <w:i/>
                <w:iCs/>
                <w:u w:val="single"/>
              </w:rPr>
              <w:t xml:space="preserve">完全遵循标准《水质 总磷的测定 钼酸铵分光光度法》（GB 11893-89） 、《水质 总氮的测定 碱性过硫酸钾消解紫外分光光度法》（HJ 636-2012）、《国家地表水环境质量监测网监测任务作业指导书》规定方法标准设计，包括取液量、试剂添加量、添加试剂种类、预处理方式、反应时间、分析过程、反应原理、分析检测设备完全参照上述标准要求。</w:t>
            </w:r>
            <w:r>
              <w:rPr>
                <w:rFonts w:hint="eastAsia"/>
                <w:b/>
                <w:bCs/>
                <w:i/>
                <w:iCs/>
                <w:u w:val="single"/>
              </w:rPr>
              <w:t xml:space="preserve">（提供与国标或行业标准流程的比对表或流程说明并加盖投标人公章）</w:t>
            </w:r>
            <w:r/>
          </w:p>
          <w:p>
            <w:pPr>
              <w:pStyle w:val="966"/>
              <w:ind w:left="0" w:firstLine="0"/>
              <w:rPr>
                <w:rFonts w:hint="eastAsia"/>
                <w:i/>
                <w:iCs/>
                <w:u w:val="single"/>
              </w:rPr>
            </w:pPr>
            <w:r>
              <w:rPr>
                <w:rFonts w:hint="eastAsia"/>
                <w:i/>
                <w:iCs/>
                <w:u w:val="single"/>
              </w:rPr>
              <w:t xml:space="preserve">总磷：样品量：25 mL，试剂量加入：过硫酸钾溶液4 mL、抗坏血酸溶液1 mL、钼酸盐溶液2 mL。</w:t>
            </w:r>
            <w:r/>
          </w:p>
          <w:p>
            <w:pPr>
              <w:pStyle w:val="966"/>
              <w:ind w:left="0" w:firstLine="0"/>
              <w:rPr>
                <w:rFonts w:hint="eastAsia"/>
                <w:i/>
                <w:iCs/>
                <w:u w:val="single"/>
              </w:rPr>
            </w:pPr>
            <w:r>
              <w:rPr>
                <w:rFonts w:hint="eastAsia"/>
                <w:i/>
                <w:iCs/>
                <w:u w:val="single"/>
              </w:rPr>
              <w:t xml:space="preserve">总氮：样品量：10.00 mL，试剂量加入：碱性过硫酸钾溶液5.00 mL、盐酸溶液1.0 mL。</w:t>
            </w:r>
            <w:r/>
          </w:p>
        </w:tc>
        <w:tc>
          <w:tcPr>
            <w:tcW w:w="724" w:type="dxa"/>
            <w:vAlign w:val="center"/>
            <w:textDirection w:val="lrTb"/>
            <w:noWrap w:val="false"/>
          </w:tcPr>
          <w:p>
            <w:pPr>
              <w:spacing w:line="360" w:lineRule="auto"/>
              <w:rPr>
                <w:rFonts w:ascii="Times New Roman" w:hAnsi="宋体" w:cs="Times New Roman"/>
                <w:sz w:val="24"/>
                <w:szCs w:val="24"/>
              </w:rPr>
            </w:pPr>
            <w:r>
              <w:rPr>
                <w:rFonts w:ascii="Times New Roman" w:hAnsi="宋体" w:cs="Times New Roman"/>
                <w:sz w:val="24"/>
                <w:szCs w:val="24"/>
              </w:rPr>
            </w:r>
            <w:r/>
          </w:p>
        </w:tc>
      </w:tr>
      <w:tr>
        <w:trPr>
          <w:jc w:val="center"/>
        </w:trPr>
        <w:tc>
          <w:tcPr>
            <w:tcW w:w="0" w:type="auto"/>
            <w:vAlign w:val="center"/>
            <w:textDirection w:val="lrTb"/>
            <w:noWrap w:val="false"/>
          </w:tcPr>
          <w:p>
            <w:pPr>
              <w:jc w:val="center"/>
              <w:spacing w:line="500" w:lineRule="exact"/>
              <w:rPr>
                <w:rFonts w:hint="eastAsia" w:eastAsia="宋体"/>
                <w:sz w:val="24"/>
                <w:szCs w:val="24"/>
                <w:lang w:val="en-US" w:eastAsia="zh-CN"/>
              </w:rPr>
            </w:pPr>
            <w:r>
              <w:rPr>
                <w:rFonts w:hint="eastAsia"/>
                <w:sz w:val="24"/>
                <w:szCs w:val="24"/>
                <w:lang w:val="en-US" w:eastAsia="zh-CN"/>
              </w:rPr>
              <w:t xml:space="preserve">2</w:t>
            </w:r>
            <w:r/>
          </w:p>
        </w:tc>
        <w:tc>
          <w:tcPr>
            <w:tcW w:w="7939" w:type="dxa"/>
            <w:vAlign w:val="center"/>
            <w:textDirection w:val="lrTb"/>
            <w:noWrap w:val="false"/>
          </w:tcPr>
          <w:p>
            <w:pPr>
              <w:pStyle w:val="966"/>
              <w:ind w:left="0" w:firstLine="0"/>
              <w:rPr>
                <w:rFonts w:hint="eastAsia"/>
                <w:b/>
                <w:bCs/>
                <w:i w:val="0"/>
                <w:iCs w:val="0"/>
                <w:u w:val="none"/>
              </w:rPr>
            </w:pPr>
            <w:r>
              <w:rPr>
                <w:rFonts w:hint="eastAsia"/>
                <w:b/>
                <w:bCs/>
                <w:i w:val="0"/>
                <w:iCs w:val="0"/>
                <w:u w:val="none"/>
              </w:rPr>
              <w:t xml:space="preserve">全自动高锰酸盐指数分析单元</w:t>
            </w:r>
            <w:r/>
          </w:p>
          <w:p>
            <w:pPr>
              <w:pStyle w:val="966"/>
              <w:ind w:left="0" w:firstLine="0"/>
              <w:rPr>
                <w:rFonts w:hint="eastAsia"/>
                <w:i/>
                <w:iCs/>
                <w:u w:val="single"/>
              </w:rPr>
            </w:pPr>
            <w:r>
              <w:rPr>
                <w:rFonts w:hint="eastAsia"/>
                <w:i/>
                <w:iCs/>
                <w:u w:val="single"/>
              </w:rPr>
              <w:t xml:space="preserve">2.2.2.</w:t>
            </w:r>
            <w:r>
              <w:rPr>
                <w:rFonts w:hint="eastAsia"/>
                <w:i/>
                <w:iCs/>
                <w:u w:val="single"/>
                <w:lang w:val="en-US" w:eastAsia="zh-CN"/>
              </w:rPr>
              <w:t xml:space="preserve">符合的标准</w:t>
            </w:r>
            <w:r>
              <w:rPr>
                <w:rFonts w:hint="eastAsia"/>
                <w:i/>
                <w:iCs/>
                <w:u w:val="single"/>
              </w:rPr>
              <w:t xml:space="preserve">要求</w:t>
            </w:r>
            <w:r/>
          </w:p>
          <w:p>
            <w:pPr>
              <w:pStyle w:val="966"/>
              <w:ind w:left="0" w:firstLine="0"/>
              <w:rPr>
                <w:rFonts w:hint="eastAsia"/>
                <w:b/>
                <w:bCs/>
                <w:i/>
                <w:iCs/>
                <w:u w:val="single"/>
              </w:rPr>
            </w:pPr>
            <w:r>
              <w:rPr>
                <w:rFonts w:hint="eastAsia"/>
                <w:i/>
                <w:iCs/>
                <w:u w:val="single"/>
              </w:rPr>
              <w:t xml:space="preserve">符合《水质 高锰酸盐指数的测定 草酸钠还原酸性滴定法》（HJ 1445-2026）、《水质 高锰酸盐指数的测定 草酸钠还原碱性滴定法》（HJ 1446-2026）、《国家地表水环境质量监测网监测任务作业指导书》、《生活饮用水标准检验方法 有机物综合指标》（GB/T 5750.7-2023）中规定的沸水浴消解-高锰酸钾滴定检测方法，完全符合实验室分析操作要求。</w:t>
            </w:r>
            <w:r>
              <w:rPr>
                <w:rFonts w:hint="eastAsia"/>
                <w:b/>
                <w:bCs/>
                <w:i/>
                <w:iCs/>
                <w:u w:val="single"/>
              </w:rPr>
              <w:t xml:space="preserve">（提供与国标或行业标准流程的比对表或流程说明并加盖投标人公章）</w:t>
            </w:r>
            <w:r/>
          </w:p>
          <w:p>
            <w:pPr>
              <w:pStyle w:val="966"/>
              <w:ind w:left="0" w:firstLine="0"/>
              <w:rPr>
                <w:rFonts w:hint="eastAsia"/>
                <w:i/>
                <w:iCs/>
                <w:u w:val="single"/>
              </w:rPr>
            </w:pPr>
            <w:r>
              <w:rPr>
                <w:rFonts w:hint="eastAsia"/>
                <w:i/>
                <w:iCs/>
                <w:u w:val="single"/>
              </w:rPr>
              <w:t xml:space="preserve">酸性法：样品量：100.0 mL，试剂量加入：硫酸5±0.5 mL、高锰酸钾溶液10.00 mL、草酸溶液10.00 mL。碱性法：样品量：100.0 mL，试剂量加入：氢氧化钠0.5 mL、高锰酸钾溶液10.00 mL、硫酸溶液10±0.5 mL。</w:t>
            </w:r>
            <w:r/>
          </w:p>
        </w:tc>
        <w:tc>
          <w:tcPr>
            <w:tcW w:w="724" w:type="dxa"/>
            <w:vAlign w:val="center"/>
            <w:textDirection w:val="lrTb"/>
            <w:noWrap w:val="false"/>
          </w:tcPr>
          <w:p>
            <w:pPr>
              <w:spacing w:line="360" w:lineRule="auto"/>
              <w:rPr>
                <w:rFonts w:ascii="Times New Roman" w:hAnsi="宋体" w:cs="Times New Roman"/>
                <w:sz w:val="24"/>
                <w:szCs w:val="24"/>
              </w:rPr>
            </w:pPr>
            <w:r>
              <w:rPr>
                <w:rFonts w:ascii="Times New Roman" w:hAnsi="宋体" w:cs="Times New Roman"/>
                <w:sz w:val="24"/>
                <w:szCs w:val="24"/>
              </w:rPr>
            </w:r>
            <w:r/>
          </w:p>
        </w:tc>
      </w:tr>
      <w:tr>
        <w:trPr>
          <w:jc w:val="center"/>
        </w:trPr>
        <w:tc>
          <w:tcPr>
            <w:tcW w:w="0" w:type="auto"/>
            <w:vAlign w:val="center"/>
            <w:textDirection w:val="lrTb"/>
            <w:noWrap w:val="false"/>
          </w:tcPr>
          <w:p>
            <w:pPr>
              <w:jc w:val="center"/>
              <w:spacing w:line="500" w:lineRule="exact"/>
              <w:rPr>
                <w:rFonts w:hint="eastAsia" w:eastAsia="宋体"/>
                <w:sz w:val="24"/>
                <w:szCs w:val="24"/>
                <w:lang w:val="en-US" w:eastAsia="zh-CN"/>
              </w:rPr>
            </w:pPr>
            <w:r>
              <w:rPr>
                <w:rFonts w:hint="eastAsia"/>
                <w:sz w:val="24"/>
                <w:szCs w:val="24"/>
                <w:lang w:val="en-US" w:eastAsia="zh-CN"/>
              </w:rPr>
              <w:t xml:space="preserve">3</w:t>
            </w:r>
            <w:r/>
          </w:p>
        </w:tc>
        <w:tc>
          <w:tcPr>
            <w:tcW w:w="7939" w:type="dxa"/>
            <w:vAlign w:val="center"/>
            <w:textDirection w:val="lrTb"/>
            <w:noWrap w:val="false"/>
          </w:tcPr>
          <w:p>
            <w:pPr>
              <w:pStyle w:val="966"/>
              <w:ind w:left="0" w:firstLine="0"/>
              <w:rPr>
                <w:rFonts w:hint="eastAsia"/>
                <w:b/>
                <w:bCs/>
                <w:i w:val="0"/>
                <w:iCs w:val="0"/>
                <w:u w:val="none"/>
              </w:rPr>
            </w:pPr>
            <w:r>
              <w:rPr>
                <w:rFonts w:hint="eastAsia"/>
                <w:b/>
                <w:bCs/>
                <w:i w:val="0"/>
                <w:iCs w:val="0"/>
                <w:u w:val="none"/>
              </w:rPr>
              <w:t xml:space="preserve">全自动氨氮分析单元</w:t>
            </w:r>
            <w:r/>
          </w:p>
          <w:p>
            <w:pPr>
              <w:pStyle w:val="966"/>
              <w:ind w:left="0" w:firstLine="0"/>
              <w:rPr>
                <w:rFonts w:hint="eastAsia"/>
                <w:i/>
                <w:iCs/>
                <w:u w:val="single"/>
              </w:rPr>
            </w:pPr>
            <w:r>
              <w:rPr>
                <w:rFonts w:hint="eastAsia"/>
                <w:i/>
                <w:iCs/>
                <w:u w:val="single"/>
              </w:rPr>
              <w:t xml:space="preserve">2.3.2.</w:t>
            </w:r>
            <w:r>
              <w:rPr>
                <w:rFonts w:hint="eastAsia"/>
                <w:i/>
                <w:iCs/>
                <w:u w:val="single"/>
                <w:lang w:val="en-US" w:eastAsia="zh-CN"/>
              </w:rPr>
              <w:t xml:space="preserve">符合的标准</w:t>
            </w:r>
            <w:r>
              <w:rPr>
                <w:rFonts w:hint="eastAsia"/>
                <w:i/>
                <w:iCs/>
                <w:u w:val="single"/>
              </w:rPr>
              <w:t xml:space="preserve">要求</w:t>
            </w:r>
            <w:r/>
          </w:p>
          <w:p>
            <w:pPr>
              <w:pStyle w:val="966"/>
              <w:ind w:left="0" w:firstLine="0"/>
              <w:rPr>
                <w:rFonts w:hint="eastAsia"/>
                <w:b/>
                <w:bCs/>
                <w:i/>
                <w:iCs/>
                <w:u w:val="single"/>
              </w:rPr>
            </w:pPr>
            <w:r>
              <w:rPr>
                <w:rFonts w:hint="eastAsia"/>
                <w:i/>
                <w:iCs/>
                <w:u w:val="single"/>
              </w:rPr>
              <w:t xml:space="preserve">完全遵循标准《水质 氨氮的测定 纳氏试剂分光光度法》（HJ 535-2009）、《国家地表水环境质量监测网监测任务作业指导书》规定方法标准设计。</w:t>
            </w:r>
            <w:r>
              <w:rPr>
                <w:rFonts w:hint="eastAsia"/>
                <w:b/>
                <w:bCs/>
                <w:i/>
                <w:iCs/>
                <w:u w:val="single"/>
              </w:rPr>
              <w:t xml:space="preserve">（提供与国标或行业标准流程的比对表或流程说明并加盖投标人公章）</w:t>
            </w:r>
            <w:r/>
          </w:p>
          <w:p>
            <w:pPr>
              <w:pStyle w:val="966"/>
              <w:ind w:left="0" w:firstLine="0"/>
              <w:rPr>
                <w:rFonts w:hint="eastAsia"/>
                <w:i/>
                <w:iCs/>
                <w:u w:val="single"/>
              </w:rPr>
            </w:pPr>
            <w:r>
              <w:rPr>
                <w:rFonts w:hint="eastAsia"/>
                <w:i/>
                <w:iCs/>
                <w:u w:val="single"/>
              </w:rPr>
              <w:t xml:space="preserve">样品量：100.0 mL，试剂量加入：硫酸锌溶液1 mL、氢氧化钠溶液0.1-0.2 mL、酒石酸钾钠1.0 mL、纳氏试剂1.0 mL。</w:t>
            </w:r>
            <w:r/>
          </w:p>
        </w:tc>
        <w:tc>
          <w:tcPr>
            <w:tcW w:w="724" w:type="dxa"/>
            <w:vAlign w:val="center"/>
            <w:textDirection w:val="lrTb"/>
            <w:noWrap w:val="false"/>
          </w:tcPr>
          <w:p>
            <w:pPr>
              <w:spacing w:line="360" w:lineRule="auto"/>
              <w:rPr>
                <w:rFonts w:ascii="Times New Roman" w:hAnsi="宋体" w:cs="Times New Roman"/>
                <w:sz w:val="24"/>
                <w:szCs w:val="24"/>
              </w:rPr>
            </w:pPr>
            <w:r>
              <w:rPr>
                <w:rFonts w:ascii="Times New Roman" w:hAnsi="宋体" w:cs="Times New Roman"/>
                <w:sz w:val="24"/>
                <w:szCs w:val="24"/>
              </w:rPr>
            </w:r>
            <w:r/>
          </w:p>
        </w:tc>
      </w:tr>
      <w:tr>
        <w:trPr>
          <w:jc w:val="center"/>
        </w:trPr>
        <w:tc>
          <w:tcPr>
            <w:tcW w:w="0" w:type="auto"/>
            <w:vAlign w:val="center"/>
            <w:textDirection w:val="lrTb"/>
            <w:noWrap w:val="false"/>
          </w:tcPr>
          <w:p>
            <w:pPr>
              <w:jc w:val="center"/>
              <w:spacing w:line="500" w:lineRule="exact"/>
              <w:rPr>
                <w:rFonts w:hint="eastAsia"/>
                <w:sz w:val="24"/>
                <w:szCs w:val="24"/>
              </w:rPr>
            </w:pPr>
            <w:r>
              <w:rPr>
                <w:rFonts w:hint="eastAsia"/>
                <w:sz w:val="24"/>
                <w:szCs w:val="24"/>
              </w:rPr>
            </w:r>
            <w:r/>
          </w:p>
        </w:tc>
        <w:tc>
          <w:tcPr>
            <w:tcW w:w="7939" w:type="dxa"/>
            <w:vAlign w:val="center"/>
            <w:textDirection w:val="lrTb"/>
            <w:noWrap w:val="false"/>
          </w:tcPr>
          <w:p>
            <w:pPr>
              <w:pStyle w:val="966"/>
              <w:ind w:left="0" w:firstLine="0"/>
              <w:rPr>
                <w:rFonts w:hint="eastAsia"/>
                <w:b/>
                <w:bCs/>
                <w:i w:val="0"/>
                <w:iCs w:val="0"/>
                <w:u w:val="none"/>
                <w:lang w:val="en-US" w:eastAsia="zh-CN"/>
              </w:rPr>
            </w:pPr>
            <w:r>
              <w:rPr>
                <w:rFonts w:hint="eastAsia"/>
                <w:b/>
                <w:bCs/>
                <w:i w:val="0"/>
                <w:iCs w:val="0"/>
                <w:u w:val="none"/>
                <w:lang w:val="en-US" w:eastAsia="zh-CN"/>
              </w:rPr>
              <w:t xml:space="preserve">全自动COD分析单元</w:t>
            </w:r>
            <w:r/>
          </w:p>
          <w:p>
            <w:pPr>
              <w:pStyle w:val="966"/>
              <w:ind w:left="0" w:firstLine="0"/>
              <w:rPr>
                <w:rFonts w:hint="eastAsia"/>
                <w:i/>
                <w:iCs/>
                <w:u w:val="single"/>
              </w:rPr>
            </w:pPr>
            <w:r>
              <w:rPr>
                <w:rFonts w:hint="eastAsia"/>
                <w:i/>
                <w:iCs/>
                <w:u w:val="single"/>
              </w:rPr>
              <w:t xml:space="preserve">2.4.2.</w:t>
            </w:r>
            <w:r>
              <w:rPr>
                <w:rFonts w:hint="eastAsia"/>
                <w:i/>
                <w:iCs/>
                <w:u w:val="single"/>
                <w:lang w:val="en-US" w:eastAsia="zh-CN"/>
              </w:rPr>
              <w:t xml:space="preserve">符合的标准</w:t>
            </w:r>
            <w:r>
              <w:rPr>
                <w:rFonts w:hint="eastAsia"/>
                <w:i/>
                <w:iCs/>
                <w:u w:val="single"/>
              </w:rPr>
              <w:t xml:space="preserve">要求</w:t>
            </w:r>
            <w:r/>
          </w:p>
          <w:p>
            <w:pPr>
              <w:pStyle w:val="966"/>
              <w:ind w:left="0" w:firstLine="0"/>
              <w:rPr>
                <w:rFonts w:hint="eastAsia"/>
                <w:i/>
                <w:iCs/>
                <w:u w:val="single"/>
              </w:rPr>
            </w:pPr>
            <w:r>
              <w:rPr>
                <w:rFonts w:hint="eastAsia"/>
                <w:i/>
                <w:iCs/>
                <w:u w:val="single"/>
              </w:rPr>
              <w:t xml:space="preserve">完全遵循标准《水质 化学需氧量的测定 重铬酸盐法》（HJ828-2017）。</w:t>
            </w:r>
            <w:r/>
          </w:p>
        </w:tc>
        <w:tc>
          <w:tcPr>
            <w:tcW w:w="724" w:type="dxa"/>
            <w:vAlign w:val="center"/>
            <w:textDirection w:val="lrTb"/>
            <w:noWrap w:val="false"/>
          </w:tcPr>
          <w:p>
            <w:pPr>
              <w:spacing w:line="360" w:lineRule="auto"/>
              <w:rPr>
                <w:rFonts w:ascii="Times New Roman" w:hAnsi="宋体" w:cs="Times New Roman"/>
                <w:sz w:val="24"/>
                <w:szCs w:val="24"/>
              </w:rPr>
            </w:pPr>
            <w:r>
              <w:rPr>
                <w:rFonts w:ascii="Times New Roman" w:hAnsi="宋体" w:cs="Times New Roman"/>
                <w:sz w:val="24"/>
                <w:szCs w:val="24"/>
              </w:rPr>
            </w:r>
            <w:r/>
          </w:p>
        </w:tc>
      </w:tr>
      <w:tr>
        <w:trPr>
          <w:jc w:val="center"/>
        </w:trPr>
        <w:tc>
          <w:tcPr>
            <w:tcW w:w="0" w:type="auto"/>
            <w:vAlign w:val="center"/>
            <w:textDirection w:val="lrTb"/>
            <w:noWrap w:val="false"/>
          </w:tcPr>
          <w:p>
            <w:pPr>
              <w:jc w:val="center"/>
              <w:spacing w:line="500" w:lineRule="exact"/>
              <w:rPr>
                <w:rFonts w:hint="eastAsia" w:eastAsia="宋体"/>
                <w:sz w:val="24"/>
                <w:szCs w:val="24"/>
                <w:lang w:val="en-US" w:eastAsia="zh-CN"/>
              </w:rPr>
            </w:pPr>
            <w:r>
              <w:rPr>
                <w:rFonts w:hint="eastAsia"/>
                <w:sz w:val="24"/>
                <w:szCs w:val="24"/>
                <w:lang w:val="en-US" w:eastAsia="zh-CN"/>
              </w:rPr>
              <w:t xml:space="preserve">4</w:t>
            </w:r>
            <w:r/>
          </w:p>
        </w:tc>
        <w:tc>
          <w:tcPr>
            <w:tcW w:w="7939" w:type="dxa"/>
            <w:vAlign w:val="center"/>
            <w:textDirection w:val="lrTb"/>
            <w:noWrap w:val="false"/>
          </w:tcPr>
          <w:p>
            <w:pPr>
              <w:pStyle w:val="966"/>
              <w:ind w:left="0" w:firstLine="0"/>
              <w:rPr>
                <w:rFonts w:hint="eastAsia"/>
                <w:b/>
                <w:bCs/>
                <w:i w:val="0"/>
                <w:iCs w:val="0"/>
                <w:u w:val="none"/>
              </w:rPr>
            </w:pPr>
            <w:r>
              <w:rPr>
                <w:rFonts w:hint="eastAsia"/>
                <w:b/>
                <w:bCs/>
                <w:i w:val="0"/>
                <w:iCs w:val="0"/>
                <w:u w:val="none"/>
              </w:rPr>
              <w:t xml:space="preserve">全自动离子色谱分析单元</w:t>
            </w:r>
            <w:r/>
          </w:p>
          <w:p>
            <w:pPr>
              <w:pStyle w:val="966"/>
              <w:ind w:left="0" w:firstLine="0"/>
              <w:rPr>
                <w:rFonts w:hint="eastAsia"/>
                <w:i/>
                <w:iCs/>
                <w:u w:val="single"/>
              </w:rPr>
            </w:pPr>
            <w:r>
              <w:rPr>
                <w:rFonts w:hint="eastAsia"/>
                <w:i/>
                <w:iCs/>
                <w:u w:val="single"/>
              </w:rPr>
              <w:t xml:space="preserve">2.5.2.</w:t>
            </w:r>
            <w:r>
              <w:rPr>
                <w:rFonts w:hint="eastAsia"/>
                <w:i/>
                <w:iCs/>
                <w:u w:val="single"/>
                <w:lang w:val="en-US" w:eastAsia="zh-CN"/>
              </w:rPr>
              <w:t xml:space="preserve">符合的标准</w:t>
            </w:r>
            <w:r>
              <w:rPr>
                <w:rFonts w:hint="eastAsia"/>
                <w:i/>
                <w:iCs/>
                <w:u w:val="single"/>
              </w:rPr>
              <w:t xml:space="preserve">要求</w:t>
            </w:r>
            <w:r/>
          </w:p>
          <w:p>
            <w:pPr>
              <w:pStyle w:val="966"/>
              <w:ind w:left="0" w:firstLine="0"/>
              <w:rPr>
                <w:rFonts w:hint="eastAsia"/>
                <w:i/>
                <w:iCs/>
                <w:u w:val="single"/>
              </w:rPr>
            </w:pPr>
            <w:r>
              <w:rPr>
                <w:rFonts w:hint="eastAsia"/>
                <w:i/>
                <w:iCs/>
                <w:u w:val="single"/>
              </w:rPr>
              <w:t xml:space="preserve">2.5.2.1.采用离子色谱法（采用双极脉冲电导检测器），仪器的分析方法采用电导法检测离子信号，离子型化合物经过离子交换色谱柱分离后通过电导检测器完成分析。</w:t>
            </w:r>
            <w:r/>
          </w:p>
          <w:p>
            <w:pPr>
              <w:pStyle w:val="966"/>
              <w:ind w:left="0" w:firstLine="0"/>
              <w:rPr>
                <w:rFonts w:hint="eastAsia"/>
                <w:i/>
                <w:iCs/>
                <w:u w:val="single"/>
              </w:rPr>
            </w:pPr>
            <w:r>
              <w:rPr>
                <w:rFonts w:hint="eastAsia"/>
                <w:i/>
                <w:iCs/>
                <w:u w:val="single"/>
              </w:rPr>
              <w:t xml:space="preserve">2.5.2.2.完全遵循标准《水质 无机阴离子（F-、Cl-、NO2-、Br-、NO3-、PO43-、SO32-、SO42-）的测定 离子色谱法》（HJ 84-2016）中离子色谱法规定方法标准设计。</w:t>
            </w:r>
            <w:r/>
          </w:p>
        </w:tc>
        <w:tc>
          <w:tcPr>
            <w:tcW w:w="724" w:type="dxa"/>
            <w:vAlign w:val="center"/>
            <w:textDirection w:val="lrTb"/>
            <w:noWrap w:val="false"/>
          </w:tcPr>
          <w:p>
            <w:pPr>
              <w:spacing w:line="360" w:lineRule="auto"/>
              <w:rPr>
                <w:rFonts w:ascii="Times New Roman" w:hAnsi="宋体" w:cs="Times New Roman"/>
                <w:sz w:val="24"/>
                <w:szCs w:val="24"/>
              </w:rPr>
            </w:pPr>
            <w:r>
              <w:rPr>
                <w:rFonts w:ascii="Times New Roman" w:hAnsi="宋体" w:cs="Times New Roman"/>
                <w:sz w:val="24"/>
                <w:szCs w:val="24"/>
              </w:rPr>
            </w:r>
            <w:r/>
          </w:p>
        </w:tc>
      </w:tr>
      <w:tr>
        <w:trPr>
          <w:jc w:val="center"/>
        </w:trPr>
        <w:tc>
          <w:tcPr>
            <w:tcW w:w="0" w:type="auto"/>
            <w:vAlign w:val="center"/>
            <w:textDirection w:val="lrTb"/>
            <w:noWrap w:val="false"/>
          </w:tcPr>
          <w:p>
            <w:pPr>
              <w:jc w:val="center"/>
              <w:spacing w:line="500" w:lineRule="exact"/>
              <w:rPr>
                <w:rFonts w:hint="eastAsia" w:eastAsia="宋体"/>
                <w:sz w:val="24"/>
                <w:szCs w:val="24"/>
                <w:lang w:val="en-US" w:eastAsia="zh-CN"/>
              </w:rPr>
            </w:pPr>
            <w:r>
              <w:rPr>
                <w:rFonts w:hint="eastAsia"/>
                <w:sz w:val="24"/>
                <w:szCs w:val="24"/>
                <w:lang w:val="en-US" w:eastAsia="zh-CN"/>
              </w:rPr>
              <w:t xml:space="preserve">5</w:t>
            </w:r>
            <w:r/>
          </w:p>
        </w:tc>
        <w:tc>
          <w:tcPr>
            <w:tcW w:w="7939" w:type="dxa"/>
            <w:vAlign w:val="center"/>
            <w:textDirection w:val="lrTb"/>
            <w:noWrap w:val="false"/>
          </w:tcPr>
          <w:p>
            <w:pPr>
              <w:pStyle w:val="966"/>
              <w:ind w:left="0" w:firstLine="0"/>
              <w:rPr>
                <w:rFonts w:hint="eastAsia"/>
                <w:b/>
                <w:bCs/>
                <w:i w:val="0"/>
                <w:iCs w:val="0"/>
                <w:u w:val="none"/>
              </w:rPr>
            </w:pPr>
            <w:r>
              <w:rPr>
                <w:rFonts w:hint="eastAsia"/>
                <w:b/>
                <w:bCs/>
                <w:i w:val="0"/>
                <w:iCs w:val="0"/>
                <w:u w:val="none"/>
              </w:rPr>
              <w:t xml:space="preserve">全自动六价铬分析单元</w:t>
            </w:r>
            <w:r/>
          </w:p>
          <w:p>
            <w:pPr>
              <w:pStyle w:val="966"/>
              <w:ind w:left="0" w:firstLine="0"/>
              <w:rPr>
                <w:rFonts w:hint="eastAsia"/>
                <w:i/>
                <w:iCs/>
                <w:u w:val="single"/>
              </w:rPr>
            </w:pPr>
            <w:r>
              <w:rPr>
                <w:rFonts w:hint="eastAsia"/>
                <w:i/>
                <w:iCs/>
                <w:u w:val="single"/>
              </w:rPr>
              <w:t xml:space="preserve">2.7.2.</w:t>
            </w:r>
            <w:r>
              <w:rPr>
                <w:rFonts w:hint="eastAsia"/>
                <w:i/>
                <w:iCs/>
                <w:u w:val="single"/>
                <w:lang w:val="en-US" w:eastAsia="zh-CN"/>
              </w:rPr>
              <w:t xml:space="preserve">符合的标准</w:t>
            </w:r>
            <w:r>
              <w:rPr>
                <w:rFonts w:hint="eastAsia"/>
                <w:i/>
                <w:iCs/>
                <w:u w:val="single"/>
              </w:rPr>
              <w:t xml:space="preserve">要求</w:t>
            </w:r>
            <w:r/>
          </w:p>
          <w:p>
            <w:pPr>
              <w:pStyle w:val="966"/>
              <w:ind w:left="0" w:firstLine="0"/>
              <w:rPr>
                <w:rFonts w:hint="eastAsia"/>
                <w:i/>
                <w:iCs/>
                <w:u w:val="single"/>
              </w:rPr>
            </w:pPr>
            <w:r>
              <w:rPr>
                <w:rFonts w:hint="eastAsia"/>
                <w:i/>
                <w:iCs/>
                <w:u w:val="single"/>
              </w:rPr>
              <w:t xml:space="preserve">遵循标准《水质 六价铬的测定 二苯碳酰二肼分光光度法》（GB 7467-1987）规定方法设计。</w:t>
            </w:r>
            <w:r/>
          </w:p>
        </w:tc>
        <w:tc>
          <w:tcPr>
            <w:tcW w:w="724" w:type="dxa"/>
            <w:vAlign w:val="center"/>
            <w:textDirection w:val="lrTb"/>
            <w:noWrap w:val="false"/>
          </w:tcPr>
          <w:p>
            <w:pPr>
              <w:spacing w:line="360" w:lineRule="auto"/>
              <w:rPr>
                <w:rFonts w:ascii="Times New Roman" w:hAnsi="宋体" w:cs="Times New Roman"/>
                <w:sz w:val="24"/>
                <w:szCs w:val="24"/>
              </w:rPr>
            </w:pPr>
            <w:r>
              <w:rPr>
                <w:rFonts w:ascii="Times New Roman" w:hAnsi="宋体" w:cs="Times New Roman"/>
                <w:sz w:val="24"/>
                <w:szCs w:val="24"/>
              </w:rPr>
            </w:r>
            <w:r/>
          </w:p>
        </w:tc>
      </w:tr>
      <w:tr>
        <w:trPr>
          <w:jc w:val="center"/>
        </w:trPr>
        <w:tc>
          <w:tcPr>
            <w:tcW w:w="0" w:type="auto"/>
            <w:vAlign w:val="center"/>
            <w:textDirection w:val="lrTb"/>
            <w:noWrap w:val="false"/>
          </w:tcPr>
          <w:p>
            <w:pPr>
              <w:jc w:val="center"/>
              <w:spacing w:line="500" w:lineRule="exact"/>
              <w:rPr>
                <w:rFonts w:hint="eastAsia" w:eastAsia="宋体"/>
                <w:sz w:val="24"/>
                <w:szCs w:val="24"/>
                <w:lang w:val="en-US" w:eastAsia="zh-CN"/>
              </w:rPr>
            </w:pPr>
            <w:r>
              <w:rPr>
                <w:rFonts w:hint="eastAsia"/>
                <w:sz w:val="24"/>
                <w:szCs w:val="24"/>
                <w:lang w:val="en-US" w:eastAsia="zh-CN"/>
              </w:rPr>
              <w:t xml:space="preserve">6</w:t>
            </w:r>
            <w:r/>
          </w:p>
        </w:tc>
        <w:tc>
          <w:tcPr>
            <w:tcW w:w="7939" w:type="dxa"/>
            <w:vAlign w:val="center"/>
            <w:textDirection w:val="lrTb"/>
            <w:noWrap w:val="false"/>
          </w:tcPr>
          <w:p>
            <w:pPr>
              <w:pStyle w:val="966"/>
              <w:ind w:left="0" w:firstLine="0"/>
              <w:rPr>
                <w:rFonts w:hint="eastAsia"/>
                <w:b/>
                <w:bCs/>
                <w:i w:val="0"/>
                <w:iCs w:val="0"/>
                <w:u w:val="none"/>
              </w:rPr>
            </w:pPr>
            <w:r>
              <w:rPr>
                <w:rFonts w:hint="eastAsia"/>
                <w:b/>
                <w:bCs/>
                <w:i w:val="0"/>
                <w:iCs w:val="0"/>
                <w:u w:val="none"/>
              </w:rPr>
              <w:t xml:space="preserve">全自动石油类分析单元</w:t>
            </w:r>
            <w:r/>
          </w:p>
          <w:p>
            <w:pPr>
              <w:pStyle w:val="966"/>
              <w:ind w:left="0" w:firstLine="0"/>
              <w:rPr>
                <w:rFonts w:hint="eastAsia"/>
                <w:i/>
                <w:iCs/>
                <w:u w:val="single"/>
              </w:rPr>
            </w:pPr>
            <w:r>
              <w:rPr>
                <w:rFonts w:hint="eastAsia"/>
                <w:i/>
                <w:iCs/>
                <w:u w:val="single"/>
              </w:rPr>
              <w:t xml:space="preserve">2.9.2.</w:t>
            </w:r>
            <w:r>
              <w:rPr>
                <w:rFonts w:hint="eastAsia"/>
                <w:i/>
                <w:iCs/>
                <w:u w:val="single"/>
                <w:lang w:val="en-US" w:eastAsia="zh-CN"/>
              </w:rPr>
              <w:t xml:space="preserve">符合的标准</w:t>
            </w:r>
            <w:r>
              <w:rPr>
                <w:rFonts w:hint="eastAsia"/>
                <w:i/>
                <w:iCs/>
                <w:u w:val="single"/>
              </w:rPr>
              <w:t xml:space="preserve">要求</w:t>
            </w:r>
            <w:r/>
          </w:p>
          <w:p>
            <w:pPr>
              <w:pStyle w:val="966"/>
              <w:ind w:left="0" w:firstLine="0"/>
              <w:rPr>
                <w:rFonts w:hint="eastAsia"/>
                <w:i/>
                <w:iCs/>
                <w:u w:val="single"/>
              </w:rPr>
            </w:pPr>
            <w:r>
              <w:rPr>
                <w:rFonts w:hint="eastAsia"/>
                <w:i/>
                <w:iCs/>
                <w:u w:val="single"/>
              </w:rPr>
              <w:t xml:space="preserve">遵循标准《水质 石油类的测定 紫外分光光度法（试行）》（HJ 970-2018）、《国家地表水环境质量监测网监测任务作业指导书》规定方法标准设计。</w:t>
            </w:r>
            <w:r/>
          </w:p>
          <w:p>
            <w:pPr>
              <w:pStyle w:val="966"/>
              <w:ind w:left="0" w:firstLine="0"/>
              <w:rPr>
                <w:rFonts w:hint="eastAsia"/>
                <w:i/>
                <w:iCs/>
                <w:u w:val="single"/>
              </w:rPr>
            </w:pPr>
            <w:r>
              <w:rPr>
                <w:rFonts w:hint="eastAsia"/>
                <w:i/>
                <w:iCs/>
                <w:u w:val="single"/>
              </w:rPr>
              <w:t xml:space="preserve">样品量：500 ml，萃取液体积为 25 ml，测量波长：225nm</w:t>
            </w:r>
            <w:r/>
          </w:p>
        </w:tc>
        <w:tc>
          <w:tcPr>
            <w:tcW w:w="724" w:type="dxa"/>
            <w:vAlign w:val="center"/>
            <w:textDirection w:val="lrTb"/>
            <w:noWrap w:val="false"/>
          </w:tcPr>
          <w:p>
            <w:pPr>
              <w:spacing w:line="360" w:lineRule="auto"/>
              <w:rPr>
                <w:rFonts w:ascii="Times New Roman" w:hAnsi="宋体" w:cs="Times New Roman"/>
                <w:sz w:val="24"/>
                <w:szCs w:val="24"/>
              </w:rPr>
            </w:pPr>
            <w:r>
              <w:rPr>
                <w:rFonts w:ascii="Times New Roman" w:hAnsi="宋体" w:cs="Times New Roman"/>
                <w:sz w:val="24"/>
                <w:szCs w:val="24"/>
              </w:rPr>
            </w:r>
            <w:r/>
          </w:p>
        </w:tc>
      </w:tr>
      <w:tr>
        <w:trPr>
          <w:jc w:val="center"/>
        </w:trPr>
        <w:tc>
          <w:tcPr>
            <w:tcW w:w="0" w:type="auto"/>
            <w:vAlign w:val="center"/>
            <w:textDirection w:val="lrTb"/>
            <w:noWrap w:val="false"/>
          </w:tcPr>
          <w:p>
            <w:pPr>
              <w:jc w:val="center"/>
              <w:spacing w:line="500" w:lineRule="exact"/>
              <w:rPr>
                <w:rFonts w:hint="eastAsia" w:eastAsia="宋体"/>
                <w:sz w:val="24"/>
                <w:szCs w:val="24"/>
                <w:lang w:eastAsia="zh-CN"/>
              </w:rPr>
            </w:pPr>
            <w:r>
              <w:rPr>
                <w:rFonts w:hint="eastAsia"/>
                <w:sz w:val="24"/>
                <w:szCs w:val="24"/>
                <w:lang w:val="en-US" w:eastAsia="zh-CN"/>
              </w:rPr>
              <w:t xml:space="preserve">7</w:t>
            </w:r>
            <w:r/>
          </w:p>
        </w:tc>
        <w:tc>
          <w:tcPr>
            <w:tcW w:w="7939" w:type="dxa"/>
            <w:vAlign w:val="center"/>
            <w:textDirection w:val="lrTb"/>
            <w:noWrap w:val="false"/>
          </w:tcPr>
          <w:p>
            <w:pPr>
              <w:spacing w:line="360" w:lineRule="auto"/>
              <w:rPr>
                <w:rFonts w:ascii="Times New Roman" w:hAnsi="Times New Roman" w:eastAsia="宋体"/>
                <w:b/>
                <w:bCs w:val="0"/>
                <w:i w:val="0"/>
                <w:iCs w:val="0"/>
                <w:sz w:val="24"/>
                <w:szCs w:val="24"/>
                <w:u w:val="none"/>
              </w:rPr>
            </w:pPr>
            <w:r>
              <w:rPr>
                <w:rFonts w:ascii="Times New Roman" w:hAnsi="Times New Roman" w:eastAsia="宋体"/>
                <w:b/>
                <w:bCs w:val="0"/>
                <w:i w:val="0"/>
                <w:iCs w:val="0"/>
                <w:sz w:val="24"/>
                <w:szCs w:val="24"/>
                <w:u w:val="none"/>
              </w:rPr>
              <w:t xml:space="preserve">供货要求</w:t>
            </w:r>
            <w:r/>
          </w:p>
          <w:p>
            <w:pPr>
              <w:spacing w:line="360" w:lineRule="auto"/>
              <w:rPr>
                <w:rFonts w:hint="eastAsia" w:ascii="Times New Roman" w:hAnsi="宋体" w:cs="Times New Roman"/>
                <w:i/>
                <w:iCs/>
                <w:sz w:val="24"/>
                <w:szCs w:val="24"/>
                <w:u w:val="single"/>
              </w:rPr>
            </w:pPr>
            <w:r>
              <w:rPr>
                <w:rFonts w:hint="eastAsia" w:ascii="Times New Roman" w:hAnsi="宋体" w:cs="Times New Roman"/>
                <w:i/>
                <w:iCs/>
                <w:sz w:val="24"/>
                <w:szCs w:val="24"/>
                <w:u w:val="single"/>
              </w:rPr>
              <w:t xml:space="preserve">交货方式：采购人指定方式。</w:t>
            </w:r>
            <w:r/>
          </w:p>
          <w:p>
            <w:pPr>
              <w:spacing w:line="360" w:lineRule="auto"/>
              <w:rPr>
                <w:i/>
                <w:iCs/>
                <w:sz w:val="24"/>
                <w:szCs w:val="24"/>
                <w:u w:val="single"/>
              </w:rPr>
            </w:pPr>
            <w:r>
              <w:rPr>
                <w:rFonts w:hint="eastAsia" w:ascii="Times New Roman" w:hAnsi="宋体" w:cs="Times New Roman"/>
                <w:i/>
                <w:iCs/>
                <w:sz w:val="24"/>
                <w:szCs w:val="24"/>
                <w:u w:val="single"/>
              </w:rPr>
              <w:t xml:space="preserve">交付时间：自合同签订之日起90日历天内完成供货并通过验收、交付使用。</w:t>
            </w:r>
            <w:r/>
          </w:p>
        </w:tc>
        <w:tc>
          <w:tcPr>
            <w:tcW w:w="724" w:type="dxa"/>
            <w:vAlign w:val="center"/>
            <w:vMerge w:val="restart"/>
            <w:textDirection w:val="lrTb"/>
            <w:noWrap w:val="false"/>
          </w:tcPr>
          <w:p>
            <w:pPr>
              <w:rPr>
                <w:b/>
                <w:bCs/>
                <w:color w:val="000000"/>
                <w:sz w:val="24"/>
              </w:rPr>
            </w:pPr>
            <w:r>
              <w:rPr>
                <w:rFonts w:hint="eastAsia"/>
                <w:b/>
                <w:bCs/>
                <w:color w:val="000000"/>
                <w:sz w:val="24"/>
              </w:rPr>
              <w:t xml:space="preserve">投标人必须作出满足原要求和条件的响应，否则投标无效。</w:t>
            </w:r>
            <w:r/>
          </w:p>
          <w:p>
            <w:pPr>
              <w:spacing w:line="360" w:lineRule="auto"/>
              <w:rPr>
                <w:rFonts w:ascii="Times New Roman" w:hAnsi="宋体" w:cs="Times New Roman"/>
                <w:sz w:val="24"/>
                <w:szCs w:val="24"/>
              </w:rPr>
            </w:pPr>
            <w:r>
              <w:rPr>
                <w:rFonts w:ascii="Times New Roman" w:hAnsi="宋体" w:cs="Times New Roman"/>
                <w:sz w:val="24"/>
                <w:szCs w:val="24"/>
              </w:rPr>
            </w:r>
            <w:r/>
          </w:p>
        </w:tc>
      </w:tr>
      <w:tr>
        <w:trPr>
          <w:jc w:val="center"/>
        </w:trPr>
        <w:tc>
          <w:tcPr>
            <w:tcW w:w="0" w:type="auto"/>
            <w:vAlign w:val="center"/>
            <w:textDirection w:val="lrTb"/>
            <w:noWrap w:val="false"/>
          </w:tcPr>
          <w:p>
            <w:pPr>
              <w:jc w:val="center"/>
              <w:spacing w:line="500" w:lineRule="exact"/>
              <w:rPr>
                <w:rFonts w:hint="eastAsia" w:eastAsia="宋体"/>
                <w:sz w:val="24"/>
                <w:szCs w:val="24"/>
                <w:lang w:eastAsia="zh-CN"/>
              </w:rPr>
            </w:pPr>
            <w:r>
              <w:rPr>
                <w:rFonts w:hint="eastAsia"/>
                <w:sz w:val="24"/>
                <w:szCs w:val="24"/>
                <w:lang w:val="en-US" w:eastAsia="zh-CN"/>
              </w:rPr>
              <w:t xml:space="preserve">8</w:t>
            </w:r>
            <w:r/>
          </w:p>
        </w:tc>
        <w:tc>
          <w:tcPr>
            <w:tcW w:w="7939" w:type="dxa"/>
            <w:vAlign w:val="center"/>
            <w:textDirection w:val="lrTb"/>
            <w:noWrap w:val="false"/>
          </w:tcPr>
          <w:p>
            <w:pPr>
              <w:jc w:val="left"/>
              <w:spacing w:line="360" w:lineRule="auto"/>
              <w:rPr>
                <w:rFonts w:hint="eastAsia" w:ascii="Times New Roman" w:hAnsi="Times New Roman" w:eastAsia="宋体"/>
                <w:b/>
                <w:i w:val="0"/>
                <w:iCs w:val="0"/>
                <w:sz w:val="24"/>
                <w:szCs w:val="24"/>
                <w:u w:val="none"/>
              </w:rPr>
            </w:pPr>
            <w:r>
              <w:rPr>
                <w:rFonts w:hint="eastAsia" w:ascii="Times New Roman" w:hAnsi="Times New Roman" w:eastAsia="宋体"/>
                <w:b/>
                <w:i w:val="0"/>
                <w:iCs w:val="0"/>
                <w:sz w:val="24"/>
                <w:szCs w:val="24"/>
                <w:u w:val="none"/>
              </w:rPr>
              <w:t xml:space="preserve">质保期</w:t>
            </w:r>
            <w:r/>
          </w:p>
          <w:p>
            <w:pPr>
              <w:jc w:val="left"/>
              <w:spacing w:line="360" w:lineRule="auto"/>
              <w:rPr>
                <w:rFonts w:hint="eastAsia" w:ascii="Times New Roman" w:hAnsi="宋体" w:cs="Times New Roman"/>
                <w:i/>
                <w:iCs/>
                <w:sz w:val="24"/>
                <w:szCs w:val="24"/>
                <w:u w:val="single"/>
              </w:rPr>
            </w:pPr>
            <w:r>
              <w:rPr>
                <w:rFonts w:hint="eastAsia" w:ascii="Times New Roman" w:hAnsi="宋体" w:cs="Times New Roman"/>
                <w:i/>
                <w:iCs/>
                <w:sz w:val="24"/>
                <w:szCs w:val="24"/>
                <w:u w:val="single"/>
              </w:rPr>
              <w:t xml:space="preserve">（1）质保期自设备验收合格之日起，为期1年。</w:t>
            </w:r>
            <w:r/>
          </w:p>
          <w:p>
            <w:pPr>
              <w:jc w:val="left"/>
              <w:spacing w:line="360" w:lineRule="auto"/>
              <w:rPr>
                <w:rFonts w:hint="eastAsia" w:ascii="Times New Roman" w:hAnsi="宋体" w:cs="Times New Roman"/>
                <w:i/>
                <w:iCs/>
                <w:sz w:val="24"/>
                <w:szCs w:val="24"/>
                <w:u w:val="single"/>
              </w:rPr>
            </w:pPr>
            <w:r>
              <w:rPr>
                <w:rFonts w:hint="eastAsia" w:ascii="Times New Roman" w:hAnsi="宋体" w:cs="Times New Roman"/>
                <w:i/>
                <w:iCs/>
                <w:sz w:val="24"/>
                <w:szCs w:val="24"/>
                <w:u w:val="single"/>
              </w:rPr>
              <w:t xml:space="preserve">（2）提供的货物在质保期内因货物本身出现质量问题，根据实际情况，经双方协商，可按以下办法处理： ①更换：成交由供应商承担所发生的全部费用。 ②退货处理：无条件退货，并退还招标人支付的合同款，同时应承担该货物的直接费用（运输、保险、检验、贷款利息及银行手续费等）。招标人不承担发生的任何费用。 </w:t>
            </w:r>
            <w:r/>
          </w:p>
          <w:p>
            <w:pPr>
              <w:jc w:val="left"/>
              <w:spacing w:line="360" w:lineRule="auto"/>
              <w:rPr>
                <w:rFonts w:hint="eastAsia" w:ascii="Times New Roman" w:hAnsi="宋体" w:cs="Times New Roman"/>
                <w:i/>
                <w:iCs/>
                <w:sz w:val="24"/>
                <w:szCs w:val="24"/>
                <w:u w:val="single"/>
              </w:rPr>
            </w:pPr>
            <w:r>
              <w:rPr>
                <w:rFonts w:hint="eastAsia" w:ascii="Times New Roman" w:hAnsi="宋体" w:cs="Times New Roman"/>
                <w:i/>
                <w:iCs/>
                <w:sz w:val="24"/>
                <w:szCs w:val="24"/>
                <w:u w:val="single"/>
              </w:rPr>
              <w:t xml:space="preserve">（3）质保期间，成交供应商承担维修、安检、调换等，相关费用包含在投标报价内，采购方不再支付任何费用。</w:t>
            </w:r>
            <w:r/>
          </w:p>
          <w:p>
            <w:pPr>
              <w:jc w:val="left"/>
              <w:spacing w:line="360" w:lineRule="auto"/>
              <w:rPr>
                <w:rFonts w:ascii="宋体" w:hAnsi="宋体" w:cs="Times New Roman"/>
                <w:b/>
                <w:bCs/>
                <w:i/>
                <w:iCs/>
                <w:sz w:val="24"/>
                <w:u w:val="single"/>
              </w:rPr>
            </w:pPr>
            <w:r>
              <w:rPr>
                <w:rFonts w:hint="eastAsia" w:ascii="Times New Roman" w:hAnsi="宋体" w:cs="Times New Roman"/>
                <w:i/>
                <w:iCs/>
                <w:sz w:val="24"/>
                <w:szCs w:val="24"/>
                <w:u w:val="single"/>
              </w:rPr>
              <w:t xml:space="preserve">（4）在质保期内，供应商应对货物出现的质量及安全问题负责处理解决并承担一切费用。 </w:t>
            </w:r>
            <w:r/>
          </w:p>
        </w:tc>
        <w:tc>
          <w:tcPr>
            <w:tcW w:w="724" w:type="dxa"/>
            <w:vAlign w:val="center"/>
            <w:vMerge w:val="continue"/>
            <w:textDirection w:val="lrTb"/>
            <w:noWrap w:val="false"/>
          </w:tcPr>
          <w:p>
            <w:pPr>
              <w:spacing w:line="360" w:lineRule="auto"/>
              <w:rPr>
                <w:rFonts w:ascii="Times New Roman" w:hAnsi="宋体" w:cs="Times New Roman"/>
                <w:sz w:val="24"/>
                <w:szCs w:val="24"/>
              </w:rPr>
            </w:pPr>
            <w:r>
              <w:rPr>
                <w:rFonts w:ascii="Times New Roman" w:hAnsi="宋体" w:cs="Times New Roman"/>
                <w:sz w:val="24"/>
                <w:szCs w:val="24"/>
              </w:rPr>
            </w:r>
            <w:r/>
          </w:p>
        </w:tc>
      </w:tr>
      <w:tr>
        <w:trPr>
          <w:jc w:val="center"/>
        </w:trPr>
        <w:tc>
          <w:tcPr>
            <w:tcW w:w="0" w:type="auto"/>
            <w:vAlign w:val="center"/>
            <w:textDirection w:val="lrTb"/>
            <w:noWrap w:val="false"/>
          </w:tcPr>
          <w:p>
            <w:pPr>
              <w:jc w:val="center"/>
              <w:spacing w:line="500" w:lineRule="exact"/>
              <w:rPr>
                <w:rFonts w:hint="eastAsia" w:eastAsia="宋体"/>
                <w:sz w:val="24"/>
                <w:szCs w:val="24"/>
                <w:lang w:eastAsia="zh-CN"/>
              </w:rPr>
            </w:pPr>
            <w:r>
              <w:rPr>
                <w:rFonts w:hint="eastAsia"/>
                <w:sz w:val="24"/>
                <w:szCs w:val="24"/>
                <w:lang w:val="en-US" w:eastAsia="zh-CN"/>
              </w:rPr>
              <w:t xml:space="preserve">9</w:t>
            </w:r>
            <w:r/>
          </w:p>
        </w:tc>
        <w:tc>
          <w:tcPr>
            <w:tcW w:w="7939" w:type="dxa"/>
            <w:vAlign w:val="center"/>
            <w:textDirection w:val="lrTb"/>
            <w:noWrap w:val="false"/>
          </w:tcPr>
          <w:p>
            <w:pPr>
              <w:spacing w:line="360" w:lineRule="auto"/>
              <w:rPr>
                <w:rFonts w:hint="eastAsia" w:ascii="Times New Roman" w:hAnsi="宋体" w:cs="Times New Roman"/>
                <w:b/>
                <w:bCs/>
                <w:i w:val="0"/>
                <w:iCs w:val="0"/>
                <w:sz w:val="24"/>
                <w:szCs w:val="24"/>
                <w:u w:val="none"/>
              </w:rPr>
            </w:pPr>
            <w:r>
              <w:rPr>
                <w:rFonts w:hint="eastAsia" w:ascii="Times New Roman" w:hAnsi="宋体" w:cs="Times New Roman"/>
                <w:b/>
                <w:bCs/>
                <w:i w:val="0"/>
                <w:iCs w:val="0"/>
                <w:sz w:val="24"/>
                <w:szCs w:val="24"/>
                <w:u w:val="none"/>
              </w:rPr>
              <w:t xml:space="preserve">安装调试要求</w:t>
            </w:r>
            <w:r/>
          </w:p>
          <w:p>
            <w:pPr>
              <w:spacing w:line="360" w:lineRule="auto"/>
              <w:rPr>
                <w:rFonts w:hint="eastAsia" w:ascii="Times New Roman" w:hAnsi="宋体" w:cs="Times New Roman"/>
                <w:i/>
                <w:iCs/>
                <w:sz w:val="24"/>
                <w:szCs w:val="24"/>
                <w:u w:val="single"/>
              </w:rPr>
            </w:pPr>
            <w:r>
              <w:rPr>
                <w:rFonts w:hint="eastAsia" w:ascii="Times New Roman" w:hAnsi="宋体" w:cs="Times New Roman"/>
                <w:i/>
                <w:iCs/>
                <w:sz w:val="24"/>
                <w:szCs w:val="24"/>
                <w:u w:val="single"/>
              </w:rPr>
              <w:t xml:space="preserve">（1）货物（含配件）应是全新、未使用过的原装合格正品，并保证所提供货物的开箱合格率为100%，外观和内在质量如有损坏,采购人有权提出退换货。</w:t>
            </w:r>
            <w:r/>
          </w:p>
          <w:p>
            <w:pPr>
              <w:spacing w:line="360" w:lineRule="auto"/>
              <w:rPr>
                <w:rFonts w:hint="eastAsia" w:ascii="Times New Roman" w:hAnsi="宋体" w:cs="Times New Roman"/>
                <w:i/>
                <w:iCs/>
                <w:sz w:val="24"/>
                <w:szCs w:val="24"/>
                <w:u w:val="single"/>
              </w:rPr>
            </w:pPr>
            <w:r>
              <w:rPr>
                <w:rFonts w:hint="eastAsia" w:ascii="Times New Roman" w:hAnsi="宋体" w:cs="Times New Roman"/>
                <w:i/>
                <w:iCs/>
                <w:sz w:val="24"/>
                <w:szCs w:val="24"/>
                <w:u w:val="single"/>
              </w:rPr>
              <w:t xml:space="preserve">（2）产品及主要部件均须非停产设备，并提供备件、附件和耗材的供应。</w:t>
            </w:r>
            <w:r/>
          </w:p>
          <w:p>
            <w:pPr>
              <w:spacing w:line="360" w:lineRule="auto"/>
              <w:rPr>
                <w:rFonts w:hint="eastAsia" w:ascii="Times New Roman" w:hAnsi="宋体" w:cs="Times New Roman"/>
                <w:i/>
                <w:iCs/>
                <w:sz w:val="24"/>
                <w:szCs w:val="24"/>
                <w:u w:val="single"/>
              </w:rPr>
            </w:pPr>
            <w:r>
              <w:rPr>
                <w:rFonts w:hint="eastAsia" w:ascii="Times New Roman" w:hAnsi="宋体" w:cs="Times New Roman"/>
                <w:i/>
                <w:iCs/>
                <w:sz w:val="24"/>
                <w:szCs w:val="24"/>
                <w:u w:val="single"/>
              </w:rPr>
              <w:t xml:space="preserve">（3）产品及主要部件必须为成熟的产品，须充分考虑产品的使用者和使用环境。</w:t>
            </w:r>
            <w:r/>
          </w:p>
          <w:p>
            <w:pPr>
              <w:spacing w:line="360" w:lineRule="auto"/>
              <w:rPr>
                <w:rFonts w:ascii="宋体" w:hAnsi="宋体" w:cs="Times New Roman"/>
                <w:b/>
                <w:bCs/>
                <w:i/>
                <w:iCs/>
                <w:sz w:val="24"/>
                <w:u w:val="single"/>
              </w:rPr>
            </w:pPr>
            <w:r>
              <w:rPr>
                <w:rFonts w:hint="eastAsia" w:ascii="Times New Roman" w:hAnsi="宋体" w:cs="Times New Roman"/>
                <w:i/>
                <w:iCs/>
                <w:sz w:val="24"/>
                <w:szCs w:val="24"/>
                <w:u w:val="single"/>
              </w:rPr>
              <w:t xml:space="preserve">（4）签订合同前须向采购人提供详细材料一览表（各主要部分用料、规格及厚度、产地证明等），包括产品说明书或产品主要技术资料和性能的详细描述等，</w:t>
            </w:r>
            <w:r>
              <w:rPr>
                <w:rFonts w:hint="eastAsia" w:ascii="Times New Roman" w:hAnsi="宋体" w:cs="Times New Roman"/>
                <w:b/>
                <w:bCs/>
                <w:i/>
                <w:iCs/>
                <w:sz w:val="24"/>
                <w:szCs w:val="24"/>
                <w:u w:val="single"/>
              </w:rPr>
              <w:t xml:space="preserve">并提供本项目需求中所要求的检测报告等相关证明材料原件给采购人现场核验，如上述资料及证明文件与中标人投标响应文件不符或存在弄虚作假行为，采购人有权终止中标成交资格，因此造成的所有损失均由中标人自行承担。</w:t>
            </w:r>
            <w:r/>
          </w:p>
        </w:tc>
        <w:tc>
          <w:tcPr>
            <w:tcW w:w="724" w:type="dxa"/>
            <w:vAlign w:val="center"/>
            <w:vMerge w:val="continue"/>
            <w:textDirection w:val="lrTb"/>
            <w:noWrap w:val="false"/>
          </w:tcPr>
          <w:p>
            <w:pPr>
              <w:spacing w:line="360" w:lineRule="auto"/>
              <w:rPr>
                <w:rFonts w:ascii="Times New Roman" w:hAnsi="宋体" w:cs="Times New Roman"/>
                <w:sz w:val="24"/>
                <w:szCs w:val="24"/>
              </w:rPr>
            </w:pPr>
            <w:r>
              <w:rPr>
                <w:rFonts w:ascii="Times New Roman" w:hAnsi="宋体" w:cs="Times New Roman"/>
                <w:sz w:val="24"/>
                <w:szCs w:val="24"/>
              </w:rPr>
            </w:r>
            <w:r/>
          </w:p>
        </w:tc>
      </w:tr>
      <w:tr>
        <w:trPr>
          <w:jc w:val="center"/>
        </w:trPr>
        <w:tc>
          <w:tcPr>
            <w:tcW w:w="0" w:type="auto"/>
            <w:vAlign w:val="center"/>
            <w:textDirection w:val="lrTb"/>
            <w:noWrap w:val="false"/>
          </w:tcPr>
          <w:p>
            <w:pPr>
              <w:jc w:val="center"/>
              <w:spacing w:line="500" w:lineRule="exact"/>
              <w:rPr>
                <w:rFonts w:hint="default" w:eastAsia="宋体"/>
                <w:sz w:val="24"/>
                <w:szCs w:val="24"/>
                <w:lang w:val="en-US" w:eastAsia="zh-CN"/>
              </w:rPr>
            </w:pPr>
            <w:r>
              <w:rPr>
                <w:rFonts w:hint="eastAsia"/>
                <w:sz w:val="24"/>
                <w:szCs w:val="24"/>
                <w:lang w:val="en-US" w:eastAsia="zh-CN"/>
              </w:rPr>
              <w:t xml:space="preserve">10</w:t>
            </w:r>
            <w:r/>
          </w:p>
        </w:tc>
        <w:tc>
          <w:tcPr>
            <w:tcW w:w="7939" w:type="dxa"/>
            <w:vAlign w:val="center"/>
            <w:textDirection w:val="lrTb"/>
            <w:noWrap w:val="false"/>
          </w:tcPr>
          <w:p>
            <w:pPr>
              <w:spacing w:line="360" w:lineRule="auto"/>
              <w:rPr>
                <w:rFonts w:hint="eastAsia" w:ascii="Times New Roman" w:hAnsi="Times New Roman" w:eastAsia="宋体" w:cs="宋体"/>
                <w:b/>
                <w:bCs/>
                <w:i w:val="0"/>
                <w:iCs w:val="0"/>
                <w:sz w:val="24"/>
                <w:szCs w:val="24"/>
                <w:u w:val="none"/>
              </w:rPr>
            </w:pPr>
            <w:r>
              <w:rPr>
                <w:rFonts w:hint="eastAsia" w:ascii="Times New Roman" w:hAnsi="Times New Roman" w:eastAsia="宋体" w:cs="宋体"/>
                <w:b/>
                <w:bCs/>
                <w:i w:val="0"/>
                <w:iCs w:val="0"/>
                <w:sz w:val="24"/>
                <w:szCs w:val="24"/>
                <w:u w:val="none"/>
              </w:rPr>
              <w:t xml:space="preserve">其他服务要求</w:t>
            </w:r>
            <w:r/>
          </w:p>
          <w:p>
            <w:pPr>
              <w:spacing w:line="360" w:lineRule="auto"/>
              <w:rPr>
                <w:rFonts w:hint="eastAsia" w:ascii="Times New Roman" w:hAnsi="宋体" w:cs="Times New Roman"/>
                <w:i/>
                <w:iCs/>
                <w:sz w:val="24"/>
                <w:szCs w:val="24"/>
                <w:u w:val="single"/>
              </w:rPr>
            </w:pPr>
            <w:r>
              <w:rPr>
                <w:rFonts w:hint="eastAsia" w:ascii="Times New Roman" w:hAnsi="Times New Roman" w:cs="宋体"/>
                <w:b/>
                <w:bCs/>
                <w:i/>
                <w:iCs/>
                <w:szCs w:val="24"/>
                <w:u w:val="single"/>
                <w:lang w:val="en-US" w:eastAsia="zh-CN"/>
              </w:rPr>
              <w:t xml:space="preserve">1.</w:t>
            </w:r>
            <w:r>
              <w:rPr>
                <w:rFonts w:hint="eastAsia" w:ascii="Times New Roman" w:hAnsi="宋体" w:cs="Times New Roman"/>
                <w:i/>
                <w:iCs/>
                <w:sz w:val="24"/>
                <w:szCs w:val="24"/>
                <w:u w:val="single"/>
              </w:rPr>
              <w:t xml:space="preserve">提供7天×24小时服务电话，每次出现故障时2h响应，24h内提供解决方案，若远程解决不了，则24h内工程师上门维修。如工程师上门维修无法解决故障，需免费更换备机。</w:t>
            </w:r>
            <w:r/>
          </w:p>
          <w:p>
            <w:pPr>
              <w:spacing w:line="360" w:lineRule="auto"/>
              <w:rPr>
                <w:rFonts w:hint="eastAsia" w:ascii="Times New Roman" w:hAnsi="宋体" w:cs="Times New Roman"/>
                <w:i/>
                <w:iCs/>
                <w:sz w:val="24"/>
                <w:szCs w:val="24"/>
                <w:u w:val="single"/>
              </w:rPr>
            </w:pPr>
            <w:r>
              <w:rPr>
                <w:rFonts w:hint="eastAsia" w:ascii="Times New Roman" w:hAnsi="宋体" w:cs="Times New Roman"/>
                <w:i/>
                <w:iCs/>
                <w:sz w:val="24"/>
                <w:szCs w:val="24"/>
                <w:u w:val="single"/>
                <w:lang w:val="en-US" w:eastAsia="zh-CN"/>
              </w:rPr>
              <w:t xml:space="preserve">2.</w:t>
            </w:r>
            <w:r>
              <w:rPr>
                <w:rFonts w:hint="eastAsia" w:ascii="Times New Roman" w:hAnsi="宋体" w:cs="Times New Roman"/>
                <w:i/>
                <w:iCs/>
                <w:sz w:val="24"/>
                <w:szCs w:val="24"/>
                <w:u w:val="single"/>
              </w:rPr>
              <w:t xml:space="preserve">投标人需为用户单位提供不少于3天6人次的仪器培训，为用户提供仪器的基本原理、操作、日常维护、基础分析理论课程。培训形式可以是用户派遣人员赴制造商开班办的培训班，也可以是制造商派遣培训师赴用户现场培训。投标人提供承诺书，如投标人非制造商，则需提供投标主要产品制造商针对本项目的售后服务承诺书加盖制造商公章。</w:t>
            </w:r>
            <w:r/>
          </w:p>
          <w:p>
            <w:pPr>
              <w:spacing w:line="360" w:lineRule="auto"/>
              <w:rPr>
                <w:rFonts w:hint="eastAsia" w:ascii="Times New Roman" w:hAnsi="宋体" w:cs="Times New Roman"/>
                <w:i/>
                <w:iCs/>
                <w:sz w:val="24"/>
                <w:szCs w:val="24"/>
                <w:u w:val="single"/>
              </w:rPr>
            </w:pPr>
            <w:r>
              <w:rPr>
                <w:rFonts w:hint="eastAsia" w:ascii="Times New Roman" w:hAnsi="宋体" w:cs="Times New Roman"/>
                <w:i/>
                <w:iCs/>
                <w:sz w:val="24"/>
                <w:szCs w:val="24"/>
                <w:u w:val="single"/>
                <w:lang w:val="en-US" w:eastAsia="zh-CN"/>
              </w:rPr>
              <w:t xml:space="preserve">3.</w:t>
            </w:r>
            <w:r>
              <w:rPr>
                <w:rFonts w:hint="eastAsia" w:ascii="Times New Roman" w:hAnsi="宋体" w:cs="Times New Roman"/>
                <w:i/>
                <w:iCs/>
                <w:sz w:val="24"/>
                <w:szCs w:val="24"/>
                <w:u w:val="single"/>
              </w:rPr>
              <w:t xml:space="preserve">单人驻场服务，自本项目验收之日起开始计算，为期一年。下列服务要求须在驻场服务承诺函中逐条响应，未响应视为无效投标，服务要求：</w:t>
            </w:r>
            <w:r/>
          </w:p>
          <w:p>
            <w:pPr>
              <w:spacing w:line="360" w:lineRule="auto"/>
              <w:rPr>
                <w:rFonts w:hint="eastAsia" w:ascii="Times New Roman" w:hAnsi="宋体" w:cs="Times New Roman"/>
                <w:i/>
                <w:iCs/>
                <w:sz w:val="24"/>
                <w:szCs w:val="24"/>
                <w:u w:val="single"/>
              </w:rPr>
            </w:pPr>
            <w:r>
              <w:rPr>
                <w:rFonts w:hint="eastAsia" w:ascii="Times New Roman" w:hAnsi="宋体" w:cs="Times New Roman"/>
                <w:i/>
                <w:iCs/>
                <w:sz w:val="24"/>
                <w:szCs w:val="24"/>
                <w:u w:val="single"/>
              </w:rPr>
              <w:t xml:space="preserve">（1）考勤：工作期间遵守招标人考勤制度，工作日早、晚打卡，不得缺席，如因特殊情况，需要离开工作岗位，须提前向投标人报备说明，获得批准。如因工作情况需要加班的，应服从招标人的统一安排，加班、值班。所产生的费用由投标人承担。</w:t>
            </w:r>
            <w:r/>
          </w:p>
          <w:p>
            <w:pPr>
              <w:spacing w:line="360" w:lineRule="auto"/>
              <w:rPr>
                <w:rFonts w:hint="eastAsia" w:ascii="Times New Roman" w:hAnsi="宋体" w:cs="Times New Roman"/>
                <w:i/>
                <w:iCs/>
                <w:sz w:val="24"/>
                <w:szCs w:val="24"/>
                <w:u w:val="single"/>
              </w:rPr>
            </w:pPr>
            <w:r>
              <w:rPr>
                <w:rFonts w:hint="eastAsia" w:ascii="Times New Roman" w:hAnsi="宋体" w:cs="Times New Roman"/>
                <w:i/>
                <w:iCs/>
                <w:sz w:val="24"/>
                <w:szCs w:val="24"/>
                <w:u w:val="single"/>
              </w:rPr>
              <w:t xml:space="preserve">（2）交通：投标人须为驻场服务人员配备必要的交通工具，所产生的费用均由投标人承担。</w:t>
            </w:r>
            <w:r/>
          </w:p>
          <w:p>
            <w:pPr>
              <w:spacing w:line="360" w:lineRule="auto"/>
              <w:rPr>
                <w:rFonts w:hint="eastAsia" w:ascii="Times New Roman" w:hAnsi="宋体" w:cs="Times New Roman"/>
                <w:i/>
                <w:iCs/>
                <w:sz w:val="24"/>
                <w:szCs w:val="24"/>
                <w:u w:val="single"/>
              </w:rPr>
            </w:pPr>
            <w:r>
              <w:rPr>
                <w:rFonts w:hint="eastAsia" w:ascii="Times New Roman" w:hAnsi="宋体" w:cs="Times New Roman"/>
                <w:i/>
                <w:iCs/>
                <w:sz w:val="24"/>
                <w:szCs w:val="24"/>
                <w:u w:val="single"/>
              </w:rPr>
              <w:t xml:space="preserve">（3）食宿：食宿自理，费用由投标人与驻场服务人员自行协商。招标人不再承担任何费用。</w:t>
            </w:r>
            <w:r/>
          </w:p>
          <w:p>
            <w:pPr>
              <w:spacing w:line="360" w:lineRule="auto"/>
              <w:rPr>
                <w:rFonts w:hint="eastAsia" w:ascii="Times New Roman" w:hAnsi="宋体" w:cs="Times New Roman"/>
                <w:i/>
                <w:iCs/>
                <w:sz w:val="24"/>
                <w:szCs w:val="24"/>
                <w:u w:val="single"/>
              </w:rPr>
            </w:pPr>
            <w:r>
              <w:rPr>
                <w:rFonts w:hint="eastAsia" w:ascii="Times New Roman" w:hAnsi="宋体" w:cs="Times New Roman"/>
                <w:i/>
                <w:iCs/>
                <w:sz w:val="24"/>
                <w:szCs w:val="24"/>
                <w:u w:val="single"/>
              </w:rPr>
              <w:t xml:space="preserve">（4）保险：投标人为驻场服务人员购买相关保险。</w:t>
            </w:r>
            <w:r/>
          </w:p>
          <w:p>
            <w:pPr>
              <w:spacing w:line="360" w:lineRule="auto"/>
              <w:rPr>
                <w:rFonts w:hint="eastAsia" w:ascii="Times New Roman" w:hAnsi="宋体" w:cs="Times New Roman"/>
                <w:i/>
                <w:iCs/>
                <w:sz w:val="24"/>
                <w:szCs w:val="24"/>
                <w:u w:val="single"/>
              </w:rPr>
            </w:pPr>
            <w:r>
              <w:rPr>
                <w:rFonts w:hint="eastAsia" w:ascii="Times New Roman" w:hAnsi="宋体" w:cs="Times New Roman"/>
                <w:i/>
                <w:iCs/>
                <w:sz w:val="24"/>
                <w:szCs w:val="24"/>
                <w:u w:val="single"/>
              </w:rPr>
              <w:t xml:space="preserve">（5）工作内容：</w:t>
            </w:r>
            <w:r/>
          </w:p>
          <w:p>
            <w:pPr>
              <w:spacing w:line="360" w:lineRule="auto"/>
              <w:rPr>
                <w:rFonts w:hint="eastAsia" w:ascii="Times New Roman" w:hAnsi="宋体" w:cs="Times New Roman"/>
                <w:i/>
                <w:iCs/>
                <w:sz w:val="24"/>
                <w:szCs w:val="24"/>
                <w:u w:val="single"/>
              </w:rPr>
            </w:pPr>
            <w:r>
              <w:rPr>
                <w:rFonts w:hint="eastAsia" w:ascii="Times New Roman" w:hAnsi="宋体" w:cs="Times New Roman"/>
                <w:i/>
                <w:iCs/>
                <w:sz w:val="24"/>
                <w:szCs w:val="24"/>
                <w:u w:val="single"/>
                <w:lang w:val="en-US" w:eastAsia="zh-CN"/>
              </w:rPr>
              <w:t xml:space="preserve">a</w:t>
            </w:r>
            <w:r>
              <w:rPr>
                <w:rFonts w:hint="eastAsia" w:ascii="Times New Roman" w:hAnsi="宋体" w:cs="Times New Roman"/>
                <w:i/>
                <w:iCs/>
                <w:sz w:val="24"/>
                <w:szCs w:val="24"/>
                <w:u w:val="single"/>
              </w:rPr>
              <w:t xml:space="preserve">）设备日常巡检及维护：每个工作日对水质分析仪器、分液系统、进样和流转系统、质控系统、保障系统以及软件系统进行例行检查。按照设备的保养周期，定期（季度/半年/年）对水质分析仪器、分液系统、进样和流转系统、质控系统、保障系统进行保养。</w:t>
            </w:r>
            <w:r/>
          </w:p>
          <w:p>
            <w:pPr>
              <w:spacing w:line="360" w:lineRule="auto"/>
              <w:rPr>
                <w:rFonts w:hint="eastAsia" w:ascii="Times New Roman" w:hAnsi="宋体" w:cs="Times New Roman"/>
                <w:i/>
                <w:iCs/>
                <w:sz w:val="24"/>
                <w:szCs w:val="24"/>
                <w:u w:val="single"/>
              </w:rPr>
            </w:pPr>
            <w:r>
              <w:rPr>
                <w:rFonts w:hint="eastAsia" w:ascii="Times New Roman" w:hAnsi="宋体" w:cs="Times New Roman"/>
                <w:i/>
                <w:iCs/>
                <w:sz w:val="24"/>
                <w:szCs w:val="24"/>
                <w:u w:val="single"/>
                <w:lang w:val="en-US" w:eastAsia="zh-CN"/>
              </w:rPr>
              <w:t xml:space="preserve">b</w:t>
            </w:r>
            <w:r>
              <w:rPr>
                <w:rFonts w:hint="eastAsia" w:ascii="Times New Roman" w:hAnsi="宋体" w:cs="Times New Roman"/>
                <w:i/>
                <w:iCs/>
                <w:sz w:val="24"/>
                <w:szCs w:val="24"/>
                <w:u w:val="single"/>
              </w:rPr>
              <w:t xml:space="preserve">）设备故障维修：当设备出现故障时，及时联系厂家维修。</w:t>
            </w:r>
            <w:r/>
          </w:p>
          <w:p>
            <w:pPr>
              <w:jc w:val="both"/>
              <w:spacing w:line="360" w:lineRule="auto"/>
              <w:rPr>
                <w:rFonts w:hint="eastAsia" w:asciiTheme="minorEastAsia" w:hAnsiTheme="minorEastAsia" w:eastAsiaTheme="minorEastAsia" w:cstheme="minorEastAsia"/>
                <w:i/>
                <w:iCs/>
                <w:sz w:val="24"/>
                <w:szCs w:val="24"/>
                <w:u w:val="single"/>
              </w:rPr>
            </w:pPr>
            <w:r>
              <w:rPr>
                <w:rFonts w:hint="eastAsia" w:asciiTheme="minorEastAsia" w:hAnsiTheme="minorEastAsia" w:eastAsiaTheme="minorEastAsia" w:cstheme="minorEastAsia"/>
                <w:i/>
                <w:iCs/>
                <w:sz w:val="24"/>
                <w:szCs w:val="24"/>
                <w:u w:val="single"/>
                <w:lang w:val="en-US" w:eastAsia="zh-CN"/>
              </w:rPr>
              <w:t xml:space="preserve">c</w:t>
            </w:r>
            <w:r>
              <w:rPr>
                <w:rFonts w:hint="eastAsia" w:asciiTheme="minorEastAsia" w:hAnsiTheme="minorEastAsia" w:eastAsiaTheme="minorEastAsia" w:cstheme="minorEastAsia"/>
                <w:i/>
                <w:iCs/>
                <w:sz w:val="24"/>
                <w:szCs w:val="24"/>
                <w:u w:val="single"/>
              </w:rPr>
              <w:t xml:space="preserve">）软件升级：驻场服务期间，提供软件的免费升级服务。</w:t>
            </w:r>
            <w:r/>
          </w:p>
          <w:p>
            <w:pPr>
              <w:jc w:val="both"/>
              <w:spacing w:line="360" w:lineRule="auto"/>
              <w:rPr>
                <w:rFonts w:hint="eastAsia" w:asciiTheme="minorEastAsia" w:hAnsiTheme="minorEastAsia" w:eastAsiaTheme="minorEastAsia" w:cstheme="minorEastAsia"/>
                <w:i/>
                <w:iCs/>
                <w:sz w:val="24"/>
                <w:szCs w:val="24"/>
                <w:u w:val="single"/>
                <w:lang w:val="en-US" w:eastAsia="zh-CN"/>
              </w:rPr>
            </w:pPr>
            <w:r>
              <w:rPr>
                <w:rFonts w:hint="eastAsia" w:asciiTheme="minorEastAsia" w:hAnsiTheme="minorEastAsia" w:eastAsiaTheme="minorEastAsia" w:cstheme="minorEastAsia"/>
                <w:i/>
                <w:iCs/>
                <w:sz w:val="24"/>
                <w:szCs w:val="24"/>
                <w:u w:val="single"/>
                <w:lang w:eastAsia="zh-CN"/>
              </w:rPr>
              <w:t xml:space="preserve">（</w:t>
            </w:r>
            <w:r>
              <w:rPr>
                <w:rFonts w:hint="eastAsia" w:asciiTheme="minorEastAsia" w:hAnsiTheme="minorEastAsia" w:eastAsiaTheme="minorEastAsia" w:cstheme="minorEastAsia"/>
                <w:i/>
                <w:iCs/>
                <w:sz w:val="24"/>
                <w:szCs w:val="24"/>
                <w:u w:val="single"/>
                <w:lang w:val="en-US" w:eastAsia="zh-CN"/>
              </w:rPr>
              <w:t xml:space="preserve">4</w:t>
            </w:r>
            <w:r>
              <w:rPr>
                <w:rFonts w:hint="eastAsia" w:asciiTheme="minorEastAsia" w:hAnsiTheme="minorEastAsia" w:eastAsiaTheme="minorEastAsia" w:cstheme="minorEastAsia"/>
                <w:i/>
                <w:iCs/>
                <w:sz w:val="24"/>
                <w:szCs w:val="24"/>
                <w:u w:val="single"/>
                <w:lang w:eastAsia="zh-CN"/>
              </w:rPr>
              <w:t xml:space="preserve">）</w:t>
            </w:r>
            <w:r>
              <w:rPr>
                <w:rFonts w:hint="eastAsia" w:asciiTheme="minorEastAsia" w:hAnsiTheme="minorEastAsia" w:eastAsiaTheme="minorEastAsia" w:cstheme="minorEastAsia"/>
                <w:i/>
                <w:iCs/>
                <w:sz w:val="24"/>
                <w:szCs w:val="24"/>
                <w:u w:val="single"/>
                <w:lang w:val="en-US" w:eastAsia="zh-CN"/>
              </w:rPr>
              <w:t xml:space="preserve">人员配置：</w:t>
            </w:r>
            <w:r/>
          </w:p>
          <w:p>
            <w:pPr>
              <w:jc w:val="both"/>
              <w:spacing w:line="360" w:lineRule="auto"/>
              <w:rPr>
                <w:rFonts w:ascii="宋体" w:hAnsi="宋体" w:cs="宋体"/>
                <w:b/>
                <w:i/>
                <w:iCs/>
                <w:sz w:val="24"/>
                <w:szCs w:val="24"/>
                <w:u w:val="single"/>
              </w:rPr>
            </w:pPr>
            <w:r>
              <w:rPr>
                <w:rFonts w:hint="eastAsia" w:asciiTheme="minorEastAsia" w:hAnsiTheme="minorEastAsia" w:eastAsiaTheme="minorEastAsia" w:cstheme="minorEastAsia"/>
                <w:i/>
                <w:iCs/>
                <w:sz w:val="24"/>
                <w:szCs w:val="24"/>
                <w:u w:val="single"/>
                <w:lang w:val="en-US" w:eastAsia="zh-CN"/>
              </w:rPr>
              <w:t xml:space="preserve">除验收后的单人驻场服务外，本项目的交付团队至少需要配置10人以上，包括但不限于项目经理、安装调试工程师、培训工程师、质量员等。</w:t>
            </w:r>
            <w:r/>
          </w:p>
        </w:tc>
        <w:tc>
          <w:tcPr>
            <w:tcW w:w="724" w:type="dxa"/>
            <w:vAlign w:val="center"/>
            <w:vMerge w:val="continue"/>
            <w:textDirection w:val="lrTb"/>
            <w:noWrap w:val="false"/>
          </w:tcPr>
          <w:p>
            <w:pPr>
              <w:spacing w:line="360" w:lineRule="auto"/>
              <w:rPr>
                <w:rFonts w:ascii="Times New Roman" w:hAnsi="宋体" w:cs="Times New Roman"/>
                <w:sz w:val="24"/>
                <w:szCs w:val="24"/>
              </w:rPr>
            </w:pPr>
            <w:r>
              <w:rPr>
                <w:rFonts w:ascii="Times New Roman" w:hAnsi="宋体" w:cs="Times New Roman"/>
                <w:sz w:val="24"/>
                <w:szCs w:val="24"/>
              </w:rPr>
            </w:r>
            <w:r/>
          </w:p>
        </w:tc>
      </w:tr>
      <w:tr>
        <w:trPr>
          <w:jc w:val="center"/>
        </w:trPr>
        <w:tc>
          <w:tcPr>
            <w:tcW w:w="0" w:type="auto"/>
            <w:vAlign w:val="center"/>
            <w:textDirection w:val="lrTb"/>
            <w:noWrap w:val="false"/>
          </w:tcPr>
          <w:p>
            <w:pPr>
              <w:jc w:val="center"/>
              <w:spacing w:line="500" w:lineRule="exact"/>
              <w:rPr>
                <w:rFonts w:hint="default" w:eastAsia="宋体"/>
                <w:sz w:val="24"/>
                <w:szCs w:val="24"/>
                <w:lang w:val="en-US" w:eastAsia="zh-CN"/>
              </w:rPr>
            </w:pPr>
            <w:r>
              <w:rPr>
                <w:rFonts w:hint="eastAsia"/>
                <w:sz w:val="24"/>
                <w:szCs w:val="24"/>
                <w:lang w:val="en-US" w:eastAsia="zh-CN"/>
              </w:rPr>
              <w:t xml:space="preserve">11</w:t>
            </w:r>
            <w:r/>
          </w:p>
        </w:tc>
        <w:tc>
          <w:tcPr>
            <w:tcW w:w="7939" w:type="dxa"/>
            <w:vAlign w:val="center"/>
            <w:textDirection w:val="lrTb"/>
            <w:noWrap w:val="false"/>
          </w:tcPr>
          <w:p>
            <w:pPr>
              <w:spacing w:line="360" w:lineRule="auto"/>
              <w:rPr>
                <w:rFonts w:hint="eastAsia" w:ascii="宋体" w:hAnsi="宋体" w:cs="Times New Roman"/>
                <w:b/>
                <w:bCs/>
                <w:i w:val="0"/>
                <w:iCs w:val="0"/>
                <w:sz w:val="24"/>
                <w:szCs w:val="24"/>
                <w:u w:val="none"/>
              </w:rPr>
            </w:pPr>
            <w:r>
              <w:rPr>
                <w:rFonts w:hint="eastAsia" w:ascii="宋体" w:hAnsi="宋体" w:cs="Times New Roman"/>
                <w:b/>
                <w:bCs/>
                <w:i w:val="0"/>
                <w:iCs w:val="0"/>
                <w:sz w:val="24"/>
                <w:szCs w:val="24"/>
                <w:u w:val="none"/>
              </w:rPr>
              <w:t xml:space="preserve">付款方式与履约保证金</w:t>
            </w:r>
            <w:r/>
          </w:p>
          <w:p>
            <w:pPr>
              <w:spacing w:line="360" w:lineRule="auto"/>
              <w:rPr>
                <w:rFonts w:hint="eastAsia" w:ascii="宋体" w:hAnsi="宋体" w:cs="Times New Roman"/>
                <w:i/>
                <w:iCs/>
                <w:sz w:val="24"/>
                <w:szCs w:val="24"/>
                <w:u w:val="single"/>
              </w:rPr>
            </w:pPr>
            <w:r>
              <w:rPr>
                <w:rFonts w:hint="eastAsia" w:ascii="宋体" w:hAnsi="宋体" w:cs="Times New Roman"/>
                <w:i/>
                <w:iCs/>
                <w:sz w:val="24"/>
                <w:szCs w:val="24"/>
                <w:u w:val="single"/>
              </w:rPr>
              <w:t xml:space="preserve">1.合同款项的支付方式及进度安排</w:t>
            </w:r>
            <w:r/>
          </w:p>
          <w:p>
            <w:pPr>
              <w:spacing w:line="360" w:lineRule="auto"/>
              <w:rPr>
                <w:rFonts w:hint="eastAsia" w:ascii="宋体" w:hAnsi="宋体" w:cs="Times New Roman"/>
                <w:i/>
                <w:iCs/>
                <w:sz w:val="24"/>
                <w:szCs w:val="24"/>
                <w:u w:val="single"/>
              </w:rPr>
            </w:pPr>
            <w:r>
              <w:rPr>
                <w:rFonts w:hint="eastAsia" w:ascii="宋体" w:hAnsi="宋体" w:cs="Times New Roman"/>
                <w:i/>
                <w:iCs/>
                <w:sz w:val="24"/>
                <w:szCs w:val="24"/>
                <w:u w:val="single"/>
              </w:rPr>
              <w:t xml:space="preserve">第一次付款：项目签订合同后，甲方收到乙方发票后的10个工作日内支付合同金额的30%；</w:t>
            </w:r>
            <w:r/>
          </w:p>
          <w:p>
            <w:pPr>
              <w:spacing w:line="360" w:lineRule="auto"/>
              <w:rPr>
                <w:rFonts w:ascii="宋体" w:hAnsi="宋体" w:cs="宋体"/>
                <w:b/>
                <w:i/>
                <w:iCs/>
                <w:sz w:val="24"/>
                <w:szCs w:val="24"/>
                <w:u w:val="single"/>
              </w:rPr>
            </w:pPr>
            <w:r>
              <w:rPr>
                <w:rFonts w:hint="eastAsia" w:ascii="宋体" w:hAnsi="宋体" w:cs="Times New Roman"/>
                <w:i/>
                <w:iCs/>
                <w:sz w:val="24"/>
                <w:szCs w:val="24"/>
                <w:u w:val="single"/>
              </w:rPr>
              <w:t xml:space="preserve">第二次付款：项目全部仪器设备到货并通过调试验收合格后10个工作日内支付合同金额的70%。</w:t>
            </w:r>
            <w:r/>
          </w:p>
        </w:tc>
        <w:tc>
          <w:tcPr>
            <w:tcW w:w="724" w:type="dxa"/>
            <w:vAlign w:val="center"/>
            <w:vMerge w:val="continue"/>
            <w:textDirection w:val="lrTb"/>
            <w:noWrap w:val="false"/>
          </w:tcPr>
          <w:p>
            <w:pPr>
              <w:spacing w:line="360" w:lineRule="auto"/>
              <w:rPr>
                <w:rFonts w:cs="宋体"/>
                <w:sz w:val="24"/>
              </w:rPr>
            </w:pPr>
            <w:r>
              <w:rPr>
                <w:rFonts w:cs="宋体"/>
                <w:sz w:val="24"/>
              </w:rPr>
            </w:r>
            <w:r/>
          </w:p>
        </w:tc>
      </w:tr>
    </w:tbl>
    <w:p>
      <w:pPr>
        <w:spacing w:line="360" w:lineRule="auto"/>
        <w:rPr>
          <w:rFonts w:ascii="Times New Roman" w:hAnsi="Times New Roman" w:eastAsia="宋体"/>
          <w:b/>
          <w:sz w:val="28"/>
          <w:szCs w:val="28"/>
        </w:rPr>
        <w:outlineLvl w:val="0"/>
      </w:pPr>
      <w:r>
        <w:rPr>
          <w:rFonts w:hint="eastAsia" w:ascii="Times New Roman" w:hAnsi="Times New Roman" w:cs="Times New Roman"/>
          <w:b/>
          <w:sz w:val="28"/>
          <w:szCs w:val="28"/>
        </w:rPr>
        <w:t xml:space="preserve">一、</w:t>
      </w:r>
      <w:r>
        <w:rPr>
          <w:rFonts w:hint="eastAsia" w:ascii="Times New Roman" w:hAnsi="Times New Roman" w:eastAsia="宋体"/>
          <w:b/>
          <w:sz w:val="28"/>
          <w:szCs w:val="28"/>
        </w:rPr>
        <w:t xml:space="preserve">项目概况（或背景或主要建设内容）</w:t>
      </w:r>
      <w:r/>
    </w:p>
    <w:p>
      <w:pPr>
        <w:ind w:firstLine="480"/>
        <w:jc w:val="left"/>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根据需求，购置分析仪器设备、自动分液设备、自动流转及进样设备等17款23台/套仪器设备及辅助设施，打造“黑灯”实验室，实现样品自动分样、流转、进样、分析及质控功能；补齐检测能力缺口，提升实验室智能化、自动化管控水平，支撑东海县水环境质量监测、污染源监测及应急监测等工作。所有仪器设备需符合国家/行业相关标准，确保监测数据真实、准确、有效。</w:t>
      </w:r>
      <w:r/>
    </w:p>
    <w:p>
      <w:pPr>
        <w:jc w:val="left"/>
        <w:spacing w:line="360" w:lineRule="auto"/>
        <w:rPr>
          <w:rFonts w:ascii="Times New Roman" w:hAnsi="Times New Roman" w:cs="Times New Roman"/>
          <w:b/>
          <w:sz w:val="28"/>
          <w:szCs w:val="28"/>
          <w:highlight w:val="none"/>
        </w:rPr>
        <w:outlineLvl w:val="1"/>
      </w:pPr>
      <w:r>
        <w:rPr>
          <w:rFonts w:hint="eastAsia" w:ascii="Times New Roman" w:hAnsi="Times New Roman" w:cs="Times New Roman"/>
          <w:b/>
          <w:sz w:val="28"/>
          <w:szCs w:val="28"/>
          <w:highlight w:val="none"/>
          <w:lang w:val="en-US" w:eastAsia="zh-CN"/>
        </w:rPr>
        <w:t xml:space="preserve">二、</w:t>
      </w:r>
      <w:r>
        <w:rPr>
          <w:rFonts w:hint="eastAsia" w:ascii="Times New Roman" w:hAnsi="Times New Roman" w:cs="Times New Roman"/>
          <w:b/>
          <w:sz w:val="28"/>
          <w:szCs w:val="28"/>
          <w:highlight w:val="none"/>
        </w:rPr>
        <w:t xml:space="preserve">货物（标的）采购清单</w:t>
      </w:r>
      <w:r/>
    </w:p>
    <w:tbl>
      <w:tblPr>
        <w:tblStyle w:val="700"/>
        <w:tblW w:w="445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2"/>
        <w:gridCol w:w="3715"/>
        <w:gridCol w:w="964"/>
        <w:gridCol w:w="1494"/>
        <w:gridCol w:w="1859"/>
      </w:tblGrid>
      <w:tr>
        <w:trPr>
          <w:cantSplit/>
          <w:jc w:val="center"/>
          <w:trHeight w:val="485"/>
        </w:trPr>
        <w:tc>
          <w:tcPr>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contextualSpacing/>
              <w:jc w:val="center"/>
              <w:spacing w:line="360" w:lineRule="auto"/>
              <w:widowControl/>
              <w:rPr>
                <w:rFonts w:ascii="Times New Roman" w:hAnsi="Times New Roman" w:eastAsia="宋体" w:cs="宋体"/>
                <w:szCs w:val="24"/>
              </w:rPr>
            </w:pPr>
            <w:r>
              <w:rPr>
                <w:rFonts w:hint="eastAsia" w:ascii="Times New Roman" w:hAnsi="Times New Roman" w:eastAsia="宋体" w:cs="宋体"/>
                <w:szCs w:val="24"/>
              </w:rPr>
              <w:t xml:space="preserve">序号</w:t>
            </w:r>
            <w:r/>
          </w:p>
        </w:tc>
        <w:tc>
          <w:tcPr>
            <w:tcBorders>
              <w:top w:val="single" w:color="auto" w:sz="4" w:space="0"/>
              <w:left w:val="single" w:color="auto" w:sz="4" w:space="0"/>
              <w:bottom w:val="single" w:color="auto" w:sz="4" w:space="0"/>
              <w:right w:val="single" w:color="auto" w:sz="4" w:space="0"/>
            </w:tcBorders>
            <w:tcW w:w="2116" w:type="pct"/>
            <w:vAlign w:val="center"/>
            <w:textDirection w:val="lrTb"/>
            <w:noWrap w:val="false"/>
          </w:tcPr>
          <w:p>
            <w:pPr>
              <w:contextualSpacing/>
              <w:jc w:val="center"/>
              <w:spacing w:line="360" w:lineRule="auto"/>
              <w:widowControl/>
              <w:rPr>
                <w:rFonts w:ascii="Times New Roman" w:hAnsi="Times New Roman" w:eastAsia="宋体" w:cs="宋体"/>
                <w:szCs w:val="24"/>
              </w:rPr>
            </w:pPr>
            <w:r>
              <w:rPr>
                <w:rFonts w:hint="eastAsia" w:ascii="Times New Roman" w:hAnsi="Times New Roman" w:eastAsia="宋体"/>
                <w:color w:val="000000"/>
              </w:rPr>
              <w:t xml:space="preserve">产品、服务（标的）名称</w:t>
            </w:r>
            <w:r/>
          </w:p>
        </w:tc>
        <w:tc>
          <w:tcPr>
            <w:tcBorders>
              <w:top w:val="single" w:color="auto" w:sz="4" w:space="0"/>
              <w:left w:val="single" w:color="auto" w:sz="4" w:space="0"/>
              <w:bottom w:val="single" w:color="auto" w:sz="4" w:space="0"/>
              <w:right w:val="single" w:color="auto" w:sz="4" w:space="0"/>
            </w:tcBorders>
            <w:tcW w:w="549" w:type="pct"/>
            <w:vAlign w:val="center"/>
            <w:textDirection w:val="lrTb"/>
            <w:noWrap w:val="false"/>
          </w:tcPr>
          <w:p>
            <w:pPr>
              <w:contextualSpacing/>
              <w:jc w:val="center"/>
              <w:spacing w:line="360" w:lineRule="auto"/>
              <w:widowControl/>
              <w:rPr>
                <w:rFonts w:ascii="Times New Roman" w:hAnsi="Times New Roman" w:eastAsia="宋体" w:cs="宋体"/>
                <w:szCs w:val="24"/>
              </w:rPr>
            </w:pPr>
            <w:r>
              <w:rPr>
                <w:rFonts w:hint="eastAsia" w:ascii="Times New Roman" w:hAnsi="Times New Roman" w:eastAsia="宋体" w:cs="宋体"/>
                <w:szCs w:val="24"/>
              </w:rPr>
              <w:t xml:space="preserve">数量</w:t>
            </w:r>
            <w:r/>
          </w:p>
        </w:tc>
        <w:tc>
          <w:tcPr>
            <w:tcBorders>
              <w:top w:val="single" w:color="auto" w:sz="4" w:space="0"/>
              <w:left w:val="single" w:color="auto" w:sz="4" w:space="0"/>
              <w:bottom w:val="single" w:color="auto" w:sz="4" w:space="0"/>
              <w:right w:val="single" w:color="auto" w:sz="4" w:space="0"/>
            </w:tcBorders>
            <w:tcW w:w="851" w:type="pct"/>
            <w:vAlign w:val="center"/>
            <w:textDirection w:val="lrTb"/>
            <w:noWrap w:val="false"/>
          </w:tcPr>
          <w:p>
            <w:pPr>
              <w:contextualSpacing/>
              <w:jc w:val="center"/>
              <w:spacing w:line="360" w:lineRule="auto"/>
              <w:widowControl/>
              <w:rPr>
                <w:rFonts w:ascii="Times New Roman" w:hAnsi="Times New Roman" w:eastAsia="宋体" w:cs="宋体"/>
                <w:szCs w:val="24"/>
              </w:rPr>
            </w:pPr>
            <w:r>
              <w:rPr>
                <w:rFonts w:hint="eastAsia" w:ascii="Times New Roman" w:hAnsi="Times New Roman" w:eastAsia="宋体" w:cs="宋体"/>
                <w:szCs w:val="24"/>
              </w:rPr>
              <w:t xml:space="preserve">单位</w:t>
            </w:r>
            <w:r/>
          </w:p>
        </w:tc>
        <w:tc>
          <w:tcPr>
            <w:tcBorders>
              <w:top w:val="single" w:color="auto" w:sz="4" w:space="0"/>
              <w:left w:val="single" w:color="auto" w:sz="4" w:space="0"/>
              <w:bottom w:val="single" w:color="auto" w:sz="4" w:space="0"/>
              <w:right w:val="single" w:color="auto" w:sz="4" w:space="0"/>
            </w:tcBorders>
            <w:tcW w:w="1059" w:type="pct"/>
            <w:vAlign w:val="center"/>
            <w:textDirection w:val="lrTb"/>
            <w:noWrap w:val="false"/>
          </w:tcPr>
          <w:p>
            <w:pPr>
              <w:contextualSpacing/>
              <w:jc w:val="center"/>
              <w:spacing w:line="360" w:lineRule="auto"/>
              <w:widowControl/>
              <w:rPr>
                <w:rFonts w:ascii="Times New Roman" w:hAnsi="Times New Roman" w:eastAsia="宋体" w:cs="宋体"/>
                <w:szCs w:val="24"/>
              </w:rPr>
            </w:pPr>
            <w:r>
              <w:rPr>
                <w:rFonts w:hint="eastAsia" w:ascii="Times New Roman" w:hAnsi="Times New Roman" w:eastAsia="宋体" w:cs="宋体"/>
                <w:szCs w:val="24"/>
              </w:rPr>
              <w:t xml:space="preserve">中小企业划分标准所属行业</w:t>
            </w:r>
            <w:r/>
          </w:p>
        </w:tc>
      </w:tr>
      <w:tr>
        <w:trPr>
          <w:cantSplit/>
          <w:jc w:val="center"/>
          <w:trHeight w:val="107"/>
        </w:trPr>
        <w:tc>
          <w:tcPr>
            <w:tcBorders>
              <w:left w:val="single" w:color="auto" w:sz="4" w:space="0"/>
              <w:right w:val="single" w:color="auto" w:sz="4" w:space="0"/>
            </w:tcBorders>
            <w:tcW w:w="423" w:type="pct"/>
            <w:vAlign w:val="center"/>
            <w:textDirection w:val="lrTb"/>
            <w:noWrap w:val="false"/>
          </w:tcPr>
          <w:p>
            <w:pPr>
              <w:contextualSpacing/>
              <w:jc w:val="center"/>
              <w:spacing w:line="360" w:lineRule="auto"/>
              <w:widowControl/>
              <w:rPr>
                <w:rFonts w:ascii="Times New Roman" w:hAnsi="Times New Roman" w:eastAsia="宋体" w:cs="宋体"/>
                <w:szCs w:val="24"/>
              </w:rPr>
            </w:pPr>
            <w:r>
              <w:rPr>
                <w:rFonts w:hint="eastAsia" w:ascii="Times New Roman" w:hAnsi="Times New Roman" w:eastAsia="宋体" w:cs="宋体"/>
                <w:szCs w:val="24"/>
              </w:rPr>
              <w:t xml:space="preserve">1</w:t>
            </w:r>
            <w:r/>
          </w:p>
        </w:tc>
        <w:tc>
          <w:tcPr>
            <w:tcBorders>
              <w:left w:val="single" w:color="auto" w:sz="4" w:space="0"/>
              <w:right w:val="single" w:color="auto" w:sz="4" w:space="0"/>
            </w:tcBorders>
            <w:tcW w:w="2116" w:type="pct"/>
            <w:vAlign w:val="center"/>
            <w:textDirection w:val="lrTb"/>
            <w:noWrap w:val="false"/>
          </w:tcPr>
          <w:p>
            <w:pPr>
              <w:pStyle w:val="973"/>
              <w:rPr>
                <w:rFonts w:ascii="Times New Roman" w:hAnsi="Times New Roman" w:eastAsia="宋体" w:cs="宋体"/>
                <w:sz w:val="24"/>
                <w:szCs w:val="24"/>
              </w:rPr>
            </w:pPr>
            <w:r>
              <w:rPr>
                <w:rFonts w:hint="eastAsia" w:ascii="Times New Roman" w:hAnsi="Times New Roman" w:eastAsia="宋体" w:cs="宋体"/>
                <w:sz w:val="24"/>
                <w:szCs w:val="24"/>
              </w:rPr>
              <w:t xml:space="preserve">全自动总磷总氮分析仪</w:t>
            </w:r>
            <w:r/>
          </w:p>
        </w:tc>
        <w:tc>
          <w:tcPr>
            <w:tcBorders>
              <w:left w:val="single" w:color="auto" w:sz="4" w:space="0"/>
              <w:right w:val="single" w:color="auto" w:sz="4" w:space="0"/>
            </w:tcBorders>
            <w:tcW w:w="549" w:type="pct"/>
            <w:vAlign w:val="center"/>
            <w:textDirection w:val="lrTb"/>
            <w:noWrap w:val="false"/>
          </w:tcPr>
          <w:p>
            <w:pPr>
              <w:pStyle w:val="973"/>
              <w:jc w:val="center"/>
              <w:rPr>
                <w:rFonts w:ascii="Times New Roman" w:hAnsi="Times New Roman" w:eastAsia="宋体" w:cs="宋体"/>
                <w:sz w:val="24"/>
                <w:szCs w:val="24"/>
              </w:rPr>
            </w:pPr>
            <w:r>
              <w:rPr>
                <w:rFonts w:hint="eastAsia" w:ascii="Times New Roman" w:hAnsi="Times New Roman" w:eastAsia="宋体" w:cs="宋体"/>
                <w:sz w:val="24"/>
                <w:szCs w:val="24"/>
              </w:rPr>
              <w:t xml:space="preserve">2</w:t>
            </w:r>
            <w:r/>
          </w:p>
        </w:tc>
        <w:tc>
          <w:tcPr>
            <w:tcBorders>
              <w:left w:val="single" w:color="auto" w:sz="4" w:space="0"/>
              <w:right w:val="single" w:color="auto" w:sz="4" w:space="0"/>
            </w:tcBorders>
            <w:tcW w:w="851" w:type="pct"/>
            <w:vAlign w:val="center"/>
            <w:textDirection w:val="lrTb"/>
            <w:noWrap w:val="false"/>
          </w:tcPr>
          <w:p>
            <w:pPr>
              <w:pStyle w:val="973"/>
              <w:jc w:val="center"/>
              <w:rPr>
                <w:rFonts w:hint="eastAsia" w:ascii="Times New Roman" w:hAnsi="Times New Roman" w:eastAsia="宋体" w:cs="宋体"/>
                <w:sz w:val="24"/>
                <w:szCs w:val="24"/>
              </w:rPr>
            </w:pPr>
            <w:r>
              <w:rPr>
                <w:rFonts w:hint="eastAsia" w:ascii="Times New Roman" w:hAnsi="Times New Roman" w:eastAsia="宋体" w:cs="宋体"/>
                <w:sz w:val="24"/>
                <w:szCs w:val="24"/>
              </w:rPr>
              <w:t xml:space="preserve">套</w:t>
            </w:r>
            <w:r/>
          </w:p>
        </w:tc>
        <w:tc>
          <w:tcPr>
            <w:tcBorders>
              <w:left w:val="single" w:color="auto" w:sz="4" w:space="0"/>
              <w:right w:val="single" w:color="auto" w:sz="4" w:space="0"/>
            </w:tcBorders>
            <w:tcW w:w="1059" w:type="pct"/>
            <w:vAlign w:val="center"/>
            <w:textDirection w:val="lrTb"/>
            <w:noWrap w:val="false"/>
          </w:tcPr>
          <w:p>
            <w:pPr>
              <w:pStyle w:val="973"/>
              <w:jc w:val="center"/>
              <w:rPr>
                <w:rFonts w:hint="eastAsia" w:ascii="Times New Roman" w:hAnsi="Times New Roman" w:eastAsia="宋体" w:cs="宋体"/>
                <w:sz w:val="24"/>
                <w:szCs w:val="24"/>
              </w:rPr>
            </w:pPr>
            <w:r>
              <w:rPr>
                <w:rFonts w:hint="eastAsia" w:ascii="Times New Roman" w:hAnsi="Times New Roman" w:eastAsia="宋体" w:cs="宋体"/>
                <w:sz w:val="24"/>
                <w:szCs w:val="24"/>
              </w:rPr>
              <w:t xml:space="preserve">工业</w:t>
            </w:r>
            <w:r/>
          </w:p>
        </w:tc>
      </w:tr>
      <w:tr>
        <w:trPr>
          <w:cantSplit/>
          <w:jc w:val="center"/>
          <w:trHeight w:val="107"/>
        </w:trPr>
        <w:tc>
          <w:tcPr>
            <w:tcBorders>
              <w:left w:val="single" w:color="auto" w:sz="4" w:space="0"/>
              <w:right w:val="single" w:color="auto" w:sz="4" w:space="0"/>
            </w:tcBorders>
            <w:tcW w:w="423" w:type="pct"/>
            <w:vAlign w:val="center"/>
            <w:textDirection w:val="lrTb"/>
            <w:noWrap w:val="false"/>
          </w:tcPr>
          <w:p>
            <w:pPr>
              <w:contextualSpacing/>
              <w:jc w:val="center"/>
              <w:spacing w:line="360" w:lineRule="auto"/>
              <w:widowControl/>
              <w:rPr>
                <w:rFonts w:ascii="Times New Roman" w:hAnsi="Times New Roman" w:eastAsia="宋体" w:cs="宋体"/>
                <w:szCs w:val="24"/>
              </w:rPr>
            </w:pPr>
            <w:r>
              <w:rPr>
                <w:rFonts w:hint="eastAsia" w:ascii="Times New Roman" w:hAnsi="Times New Roman" w:eastAsia="宋体" w:cs="宋体"/>
                <w:szCs w:val="24"/>
              </w:rPr>
              <w:t xml:space="preserve">2</w:t>
            </w:r>
            <w:r/>
          </w:p>
        </w:tc>
        <w:tc>
          <w:tcPr>
            <w:tcBorders>
              <w:left w:val="single" w:color="auto" w:sz="4" w:space="0"/>
              <w:right w:val="single" w:color="auto" w:sz="4" w:space="0"/>
            </w:tcBorders>
            <w:tcW w:w="2116" w:type="pct"/>
            <w:vAlign w:val="center"/>
            <w:textDirection w:val="lrTb"/>
            <w:noWrap w:val="false"/>
          </w:tcPr>
          <w:p>
            <w:pPr>
              <w:pStyle w:val="973"/>
              <w:rPr>
                <w:rFonts w:ascii="Times New Roman" w:hAnsi="Times New Roman" w:eastAsia="宋体" w:cs="宋体"/>
                <w:sz w:val="24"/>
                <w:szCs w:val="24"/>
              </w:rPr>
            </w:pPr>
            <w:r>
              <w:rPr>
                <w:rFonts w:hint="eastAsia" w:ascii="Times New Roman" w:hAnsi="Times New Roman" w:eastAsia="宋体" w:cs="宋体"/>
                <w:sz w:val="24"/>
                <w:szCs w:val="24"/>
              </w:rPr>
              <w:t xml:space="preserve">全自动高锰酸盐指数分析仪</w:t>
            </w:r>
            <w:r/>
          </w:p>
        </w:tc>
        <w:tc>
          <w:tcPr>
            <w:tcBorders>
              <w:left w:val="single" w:color="auto" w:sz="4" w:space="0"/>
              <w:right w:val="single" w:color="auto" w:sz="4" w:space="0"/>
            </w:tcBorders>
            <w:tcW w:w="549" w:type="pct"/>
            <w:vAlign w:val="center"/>
            <w:textDirection w:val="lrTb"/>
            <w:noWrap w:val="false"/>
          </w:tcPr>
          <w:p>
            <w:pPr>
              <w:pStyle w:val="973"/>
              <w:jc w:val="center"/>
              <w:rPr>
                <w:rFonts w:ascii="Times New Roman" w:hAnsi="Times New Roman" w:eastAsia="宋体" w:cs="宋体"/>
                <w:sz w:val="24"/>
                <w:szCs w:val="24"/>
              </w:rPr>
            </w:pPr>
            <w:r>
              <w:rPr>
                <w:rFonts w:hint="eastAsia" w:ascii="Times New Roman" w:hAnsi="Times New Roman" w:eastAsia="宋体" w:cs="宋体"/>
                <w:sz w:val="24"/>
                <w:szCs w:val="24"/>
              </w:rPr>
              <w:t xml:space="preserve">1</w:t>
            </w:r>
            <w:r/>
          </w:p>
        </w:tc>
        <w:tc>
          <w:tcPr>
            <w:tcBorders>
              <w:left w:val="single" w:color="auto" w:sz="4" w:space="0"/>
              <w:right w:val="single" w:color="auto" w:sz="4" w:space="0"/>
            </w:tcBorders>
            <w:tcW w:w="851" w:type="pct"/>
            <w:vAlign w:val="center"/>
            <w:textDirection w:val="lrTb"/>
            <w:noWrap w:val="false"/>
          </w:tcPr>
          <w:p>
            <w:pPr>
              <w:pStyle w:val="973"/>
              <w:jc w:val="center"/>
              <w:rPr>
                <w:rFonts w:hint="eastAsia" w:ascii="Times New Roman" w:hAnsi="Times New Roman" w:eastAsia="宋体" w:cs="宋体"/>
                <w:sz w:val="24"/>
                <w:szCs w:val="24"/>
              </w:rPr>
            </w:pPr>
            <w:r>
              <w:rPr>
                <w:rFonts w:hint="eastAsia" w:ascii="Times New Roman" w:hAnsi="Times New Roman" w:eastAsia="宋体" w:cs="宋体"/>
                <w:sz w:val="24"/>
                <w:szCs w:val="24"/>
              </w:rPr>
              <w:t xml:space="preserve">套</w:t>
            </w:r>
            <w:r/>
          </w:p>
        </w:tc>
        <w:tc>
          <w:tcPr>
            <w:tcBorders>
              <w:left w:val="single" w:color="auto" w:sz="4" w:space="0"/>
              <w:right w:val="single" w:color="auto" w:sz="4" w:space="0"/>
            </w:tcBorders>
            <w:tcW w:w="1059" w:type="pct"/>
            <w:vAlign w:val="center"/>
            <w:textDirection w:val="lrTb"/>
            <w:noWrap w:val="false"/>
          </w:tcPr>
          <w:p>
            <w:pPr>
              <w:pStyle w:val="973"/>
              <w:jc w:val="center"/>
              <w:rPr>
                <w:rFonts w:hint="eastAsia" w:ascii="Times New Roman" w:hAnsi="Times New Roman" w:eastAsia="宋体" w:cs="宋体"/>
                <w:sz w:val="24"/>
                <w:szCs w:val="24"/>
              </w:rPr>
            </w:pPr>
            <w:r>
              <w:rPr>
                <w:rFonts w:hint="eastAsia" w:ascii="Times New Roman" w:hAnsi="Times New Roman" w:eastAsia="宋体" w:cs="宋体"/>
                <w:sz w:val="24"/>
                <w:szCs w:val="24"/>
              </w:rPr>
              <w:t xml:space="preserve">工业</w:t>
            </w:r>
            <w:r/>
          </w:p>
        </w:tc>
      </w:tr>
      <w:tr>
        <w:trPr>
          <w:cantSplit/>
          <w:jc w:val="center"/>
          <w:trHeight w:val="107"/>
        </w:trPr>
        <w:tc>
          <w:tcPr>
            <w:tcBorders>
              <w:left w:val="single" w:color="auto" w:sz="4" w:space="0"/>
              <w:right w:val="single" w:color="auto" w:sz="4" w:space="0"/>
            </w:tcBorders>
            <w:tcW w:w="423" w:type="pct"/>
            <w:vAlign w:val="center"/>
            <w:textDirection w:val="lrTb"/>
            <w:noWrap w:val="false"/>
          </w:tcPr>
          <w:p>
            <w:pPr>
              <w:contextualSpacing/>
              <w:jc w:val="center"/>
              <w:spacing w:line="360" w:lineRule="auto"/>
              <w:widowControl/>
              <w:rPr>
                <w:rFonts w:ascii="Times New Roman" w:hAnsi="Times New Roman" w:eastAsia="宋体" w:cs="宋体"/>
                <w:szCs w:val="24"/>
              </w:rPr>
            </w:pPr>
            <w:r>
              <w:rPr>
                <w:rFonts w:hint="eastAsia" w:ascii="Times New Roman" w:hAnsi="Times New Roman" w:eastAsia="宋体" w:cs="宋体"/>
                <w:szCs w:val="24"/>
              </w:rPr>
              <w:t xml:space="preserve">3</w:t>
            </w:r>
            <w:r/>
          </w:p>
        </w:tc>
        <w:tc>
          <w:tcPr>
            <w:tcBorders>
              <w:left w:val="single" w:color="auto" w:sz="4" w:space="0"/>
              <w:right w:val="single" w:color="auto" w:sz="4" w:space="0"/>
            </w:tcBorders>
            <w:tcW w:w="2116" w:type="pct"/>
            <w:vAlign w:val="center"/>
            <w:textDirection w:val="lrTb"/>
            <w:noWrap w:val="false"/>
          </w:tcPr>
          <w:p>
            <w:pPr>
              <w:pStyle w:val="973"/>
              <w:rPr>
                <w:rFonts w:ascii="Times New Roman" w:hAnsi="Times New Roman" w:eastAsia="宋体" w:cs="宋体"/>
                <w:sz w:val="24"/>
                <w:szCs w:val="24"/>
              </w:rPr>
            </w:pPr>
            <w:r>
              <w:rPr>
                <w:rFonts w:hint="eastAsia" w:ascii="Times New Roman" w:hAnsi="Times New Roman" w:eastAsia="宋体" w:cs="宋体"/>
                <w:sz w:val="24"/>
                <w:szCs w:val="24"/>
              </w:rPr>
              <w:t xml:space="preserve">全自动氨氮分析仪</w:t>
            </w:r>
            <w:r/>
          </w:p>
        </w:tc>
        <w:tc>
          <w:tcPr>
            <w:tcBorders>
              <w:left w:val="single" w:color="auto" w:sz="4" w:space="0"/>
              <w:right w:val="single" w:color="auto" w:sz="4" w:space="0"/>
            </w:tcBorders>
            <w:tcW w:w="549" w:type="pct"/>
            <w:vAlign w:val="center"/>
            <w:textDirection w:val="lrTb"/>
            <w:noWrap w:val="false"/>
          </w:tcPr>
          <w:p>
            <w:pPr>
              <w:pStyle w:val="973"/>
              <w:jc w:val="center"/>
              <w:rPr>
                <w:rFonts w:ascii="Times New Roman" w:hAnsi="Times New Roman" w:eastAsia="宋体" w:cs="宋体"/>
                <w:sz w:val="24"/>
                <w:szCs w:val="24"/>
              </w:rPr>
            </w:pPr>
            <w:r>
              <w:rPr>
                <w:rFonts w:hint="eastAsia" w:ascii="Times New Roman" w:hAnsi="Times New Roman" w:eastAsia="宋体" w:cs="宋体"/>
                <w:sz w:val="24"/>
                <w:szCs w:val="24"/>
              </w:rPr>
              <w:t xml:space="preserve">1</w:t>
            </w:r>
            <w:r/>
          </w:p>
        </w:tc>
        <w:tc>
          <w:tcPr>
            <w:tcBorders>
              <w:left w:val="single" w:color="auto" w:sz="4" w:space="0"/>
              <w:right w:val="single" w:color="auto" w:sz="4" w:space="0"/>
            </w:tcBorders>
            <w:tcW w:w="851" w:type="pct"/>
            <w:vAlign w:val="center"/>
            <w:textDirection w:val="lrTb"/>
            <w:noWrap w:val="false"/>
          </w:tcPr>
          <w:p>
            <w:pPr>
              <w:pStyle w:val="973"/>
              <w:jc w:val="center"/>
              <w:rPr>
                <w:rFonts w:hint="eastAsia" w:ascii="Times New Roman" w:hAnsi="Times New Roman" w:eastAsia="宋体" w:cs="宋体"/>
                <w:sz w:val="24"/>
                <w:szCs w:val="24"/>
              </w:rPr>
            </w:pPr>
            <w:r>
              <w:rPr>
                <w:rFonts w:hint="eastAsia" w:ascii="Times New Roman" w:hAnsi="Times New Roman" w:eastAsia="宋体" w:cs="宋体"/>
                <w:sz w:val="24"/>
                <w:szCs w:val="24"/>
              </w:rPr>
              <w:t xml:space="preserve">套</w:t>
            </w:r>
            <w:r/>
          </w:p>
        </w:tc>
        <w:tc>
          <w:tcPr>
            <w:tcBorders>
              <w:left w:val="single" w:color="auto" w:sz="4" w:space="0"/>
              <w:right w:val="single" w:color="auto" w:sz="4" w:space="0"/>
            </w:tcBorders>
            <w:tcW w:w="1059" w:type="pct"/>
            <w:vAlign w:val="center"/>
            <w:textDirection w:val="lrTb"/>
            <w:noWrap w:val="false"/>
          </w:tcPr>
          <w:p>
            <w:pPr>
              <w:pStyle w:val="973"/>
              <w:jc w:val="center"/>
              <w:rPr>
                <w:rFonts w:hint="eastAsia" w:ascii="Times New Roman" w:hAnsi="Times New Roman" w:eastAsia="宋体" w:cs="宋体"/>
                <w:sz w:val="24"/>
                <w:szCs w:val="24"/>
              </w:rPr>
            </w:pPr>
            <w:r>
              <w:rPr>
                <w:rFonts w:hint="eastAsia" w:ascii="Times New Roman" w:hAnsi="Times New Roman" w:eastAsia="宋体" w:cs="宋体"/>
                <w:sz w:val="24"/>
                <w:szCs w:val="24"/>
              </w:rPr>
              <w:t xml:space="preserve">工业</w:t>
            </w:r>
            <w:r/>
          </w:p>
        </w:tc>
      </w:tr>
      <w:tr>
        <w:trPr>
          <w:cantSplit/>
          <w:jc w:val="center"/>
          <w:trHeight w:val="107"/>
        </w:trPr>
        <w:tc>
          <w:tcPr>
            <w:tcBorders>
              <w:left w:val="single" w:color="auto" w:sz="4" w:space="0"/>
              <w:right w:val="single" w:color="auto" w:sz="4" w:space="0"/>
            </w:tcBorders>
            <w:tcW w:w="423" w:type="pct"/>
            <w:vAlign w:val="center"/>
            <w:textDirection w:val="lrTb"/>
            <w:noWrap w:val="false"/>
          </w:tcPr>
          <w:p>
            <w:pPr>
              <w:contextualSpacing/>
              <w:jc w:val="center"/>
              <w:spacing w:line="360" w:lineRule="auto"/>
              <w:widowControl/>
              <w:rPr>
                <w:rFonts w:ascii="Times New Roman" w:hAnsi="Times New Roman" w:eastAsia="宋体" w:cs="宋体"/>
                <w:szCs w:val="24"/>
              </w:rPr>
            </w:pPr>
            <w:r>
              <w:rPr>
                <w:rFonts w:hint="eastAsia" w:ascii="Times New Roman" w:hAnsi="Times New Roman" w:eastAsia="宋体" w:cs="宋体"/>
                <w:szCs w:val="24"/>
              </w:rPr>
              <w:t xml:space="preserve">4</w:t>
            </w:r>
            <w:r/>
          </w:p>
        </w:tc>
        <w:tc>
          <w:tcPr>
            <w:tcBorders>
              <w:left w:val="single" w:color="auto" w:sz="4" w:space="0"/>
              <w:right w:val="single" w:color="auto" w:sz="4" w:space="0"/>
            </w:tcBorders>
            <w:tcW w:w="2116" w:type="pct"/>
            <w:vAlign w:val="center"/>
            <w:textDirection w:val="lrTb"/>
            <w:noWrap w:val="false"/>
          </w:tcPr>
          <w:p>
            <w:pPr>
              <w:pStyle w:val="973"/>
              <w:rPr>
                <w:rFonts w:ascii="Times New Roman" w:hAnsi="Times New Roman" w:eastAsia="宋体" w:cs="宋体"/>
                <w:sz w:val="24"/>
                <w:szCs w:val="24"/>
              </w:rPr>
            </w:pPr>
            <w:r>
              <w:rPr>
                <w:rFonts w:hint="eastAsia" w:ascii="Times New Roman" w:hAnsi="Times New Roman" w:eastAsia="宋体" w:cs="宋体"/>
                <w:sz w:val="24"/>
                <w:szCs w:val="24"/>
              </w:rPr>
              <w:t xml:space="preserve">全自动COD分析仪</w:t>
            </w:r>
            <w:r/>
          </w:p>
        </w:tc>
        <w:tc>
          <w:tcPr>
            <w:tcBorders>
              <w:left w:val="single" w:color="auto" w:sz="4" w:space="0"/>
              <w:right w:val="single" w:color="auto" w:sz="4" w:space="0"/>
            </w:tcBorders>
            <w:tcW w:w="549" w:type="pct"/>
            <w:vAlign w:val="center"/>
            <w:textDirection w:val="lrTb"/>
            <w:noWrap w:val="false"/>
          </w:tcPr>
          <w:p>
            <w:pPr>
              <w:pStyle w:val="973"/>
              <w:jc w:val="center"/>
              <w:rPr>
                <w:rFonts w:ascii="Times New Roman" w:hAnsi="Times New Roman" w:eastAsia="宋体" w:cs="宋体"/>
                <w:sz w:val="24"/>
                <w:szCs w:val="24"/>
              </w:rPr>
            </w:pPr>
            <w:r>
              <w:rPr>
                <w:rFonts w:hint="eastAsia" w:ascii="Times New Roman" w:hAnsi="Times New Roman" w:eastAsia="宋体" w:cs="宋体"/>
                <w:sz w:val="24"/>
                <w:szCs w:val="24"/>
              </w:rPr>
              <w:t xml:space="preserve">1</w:t>
            </w:r>
            <w:r/>
          </w:p>
        </w:tc>
        <w:tc>
          <w:tcPr>
            <w:tcBorders>
              <w:left w:val="single" w:color="auto" w:sz="4" w:space="0"/>
              <w:right w:val="single" w:color="auto" w:sz="4" w:space="0"/>
            </w:tcBorders>
            <w:tcW w:w="851" w:type="pct"/>
            <w:vAlign w:val="center"/>
            <w:textDirection w:val="lrTb"/>
            <w:noWrap w:val="false"/>
          </w:tcPr>
          <w:p>
            <w:pPr>
              <w:pStyle w:val="973"/>
              <w:jc w:val="center"/>
              <w:rPr>
                <w:rFonts w:hint="eastAsia" w:ascii="Times New Roman" w:hAnsi="Times New Roman" w:eastAsia="宋体" w:cs="宋体"/>
                <w:sz w:val="24"/>
                <w:szCs w:val="24"/>
              </w:rPr>
            </w:pPr>
            <w:r>
              <w:rPr>
                <w:rFonts w:hint="eastAsia" w:ascii="Times New Roman" w:hAnsi="Times New Roman" w:eastAsia="宋体" w:cs="宋体"/>
                <w:sz w:val="24"/>
                <w:szCs w:val="24"/>
              </w:rPr>
              <w:t xml:space="preserve">套</w:t>
            </w:r>
            <w:r/>
          </w:p>
        </w:tc>
        <w:tc>
          <w:tcPr>
            <w:tcBorders>
              <w:left w:val="single" w:color="auto" w:sz="4" w:space="0"/>
              <w:right w:val="single" w:color="auto" w:sz="4" w:space="0"/>
            </w:tcBorders>
            <w:tcW w:w="1059" w:type="pct"/>
            <w:vAlign w:val="center"/>
            <w:textDirection w:val="lrTb"/>
            <w:noWrap w:val="false"/>
          </w:tcPr>
          <w:p>
            <w:pPr>
              <w:pStyle w:val="973"/>
              <w:jc w:val="center"/>
              <w:rPr>
                <w:rFonts w:hint="eastAsia" w:ascii="Times New Roman" w:hAnsi="Times New Roman" w:eastAsia="宋体" w:cs="宋体"/>
                <w:sz w:val="24"/>
                <w:szCs w:val="24"/>
              </w:rPr>
            </w:pPr>
            <w:r>
              <w:rPr>
                <w:rFonts w:hint="eastAsia" w:ascii="Times New Roman" w:hAnsi="Times New Roman" w:eastAsia="宋体" w:cs="宋体"/>
                <w:sz w:val="24"/>
                <w:szCs w:val="24"/>
              </w:rPr>
              <w:t xml:space="preserve">工业</w:t>
            </w:r>
            <w:r/>
          </w:p>
        </w:tc>
      </w:tr>
      <w:tr>
        <w:trPr>
          <w:cantSplit/>
          <w:jc w:val="center"/>
          <w:trHeight w:val="107"/>
        </w:trPr>
        <w:tc>
          <w:tcPr>
            <w:tcBorders>
              <w:left w:val="single" w:color="auto" w:sz="4" w:space="0"/>
              <w:right w:val="single" w:color="auto" w:sz="4" w:space="0"/>
            </w:tcBorders>
            <w:tcW w:w="423" w:type="pct"/>
            <w:vAlign w:val="center"/>
            <w:textDirection w:val="lrTb"/>
            <w:noWrap w:val="false"/>
          </w:tcPr>
          <w:p>
            <w:pPr>
              <w:contextualSpacing/>
              <w:jc w:val="center"/>
              <w:spacing w:line="360" w:lineRule="auto"/>
              <w:widowControl/>
              <w:rPr>
                <w:rFonts w:ascii="Times New Roman" w:hAnsi="Times New Roman" w:eastAsia="宋体" w:cs="宋体"/>
                <w:szCs w:val="24"/>
              </w:rPr>
            </w:pPr>
            <w:r>
              <w:rPr>
                <w:rFonts w:hint="eastAsia" w:ascii="Times New Roman" w:hAnsi="Times New Roman" w:eastAsia="宋体" w:cs="宋体"/>
                <w:szCs w:val="24"/>
              </w:rPr>
              <w:t xml:space="preserve">5</w:t>
            </w:r>
            <w:r/>
          </w:p>
        </w:tc>
        <w:tc>
          <w:tcPr>
            <w:tcBorders>
              <w:left w:val="single" w:color="auto" w:sz="4" w:space="0"/>
              <w:right w:val="single" w:color="auto" w:sz="4" w:space="0"/>
            </w:tcBorders>
            <w:tcW w:w="2116" w:type="pct"/>
            <w:vAlign w:val="center"/>
            <w:textDirection w:val="lrTb"/>
            <w:noWrap w:val="false"/>
          </w:tcPr>
          <w:p>
            <w:pPr>
              <w:pStyle w:val="973"/>
              <w:rPr>
                <w:rFonts w:ascii="Times New Roman" w:hAnsi="Times New Roman" w:eastAsia="宋体" w:cs="宋体"/>
                <w:sz w:val="24"/>
                <w:szCs w:val="24"/>
              </w:rPr>
            </w:pPr>
            <w:r>
              <w:rPr>
                <w:rFonts w:hint="eastAsia" w:ascii="Times New Roman" w:hAnsi="Times New Roman" w:eastAsia="宋体" w:cs="宋体"/>
                <w:sz w:val="24"/>
                <w:szCs w:val="24"/>
              </w:rPr>
              <w:t xml:space="preserve">全自动离子色谱分析仪</w:t>
            </w:r>
            <w:r/>
          </w:p>
        </w:tc>
        <w:tc>
          <w:tcPr>
            <w:tcBorders>
              <w:left w:val="single" w:color="auto" w:sz="4" w:space="0"/>
              <w:right w:val="single" w:color="auto" w:sz="4" w:space="0"/>
            </w:tcBorders>
            <w:tcW w:w="549" w:type="pct"/>
            <w:vAlign w:val="center"/>
            <w:textDirection w:val="lrTb"/>
            <w:noWrap w:val="false"/>
          </w:tcPr>
          <w:p>
            <w:pPr>
              <w:pStyle w:val="973"/>
              <w:jc w:val="center"/>
              <w:rPr>
                <w:rFonts w:ascii="Times New Roman" w:hAnsi="Times New Roman" w:eastAsia="宋体" w:cs="宋体"/>
                <w:sz w:val="24"/>
                <w:szCs w:val="24"/>
              </w:rPr>
            </w:pPr>
            <w:r>
              <w:rPr>
                <w:rFonts w:hint="eastAsia" w:ascii="Times New Roman" w:hAnsi="Times New Roman" w:eastAsia="宋体" w:cs="宋体"/>
                <w:sz w:val="24"/>
                <w:szCs w:val="24"/>
              </w:rPr>
              <w:t xml:space="preserve">1</w:t>
            </w:r>
            <w:r/>
          </w:p>
        </w:tc>
        <w:tc>
          <w:tcPr>
            <w:tcBorders>
              <w:left w:val="single" w:color="auto" w:sz="4" w:space="0"/>
              <w:right w:val="single" w:color="auto" w:sz="4" w:space="0"/>
            </w:tcBorders>
            <w:tcW w:w="851" w:type="pct"/>
            <w:vAlign w:val="center"/>
            <w:textDirection w:val="lrTb"/>
            <w:noWrap w:val="false"/>
          </w:tcPr>
          <w:p>
            <w:pPr>
              <w:pStyle w:val="973"/>
              <w:jc w:val="center"/>
              <w:rPr>
                <w:rFonts w:hint="eastAsia" w:ascii="Times New Roman" w:hAnsi="Times New Roman" w:eastAsia="宋体" w:cs="宋体"/>
                <w:sz w:val="24"/>
                <w:szCs w:val="24"/>
              </w:rPr>
            </w:pPr>
            <w:r>
              <w:rPr>
                <w:rFonts w:hint="eastAsia" w:ascii="Times New Roman" w:hAnsi="Times New Roman" w:eastAsia="宋体" w:cs="宋体"/>
                <w:sz w:val="24"/>
                <w:szCs w:val="24"/>
              </w:rPr>
              <w:t xml:space="preserve">套</w:t>
            </w:r>
            <w:r/>
          </w:p>
        </w:tc>
        <w:tc>
          <w:tcPr>
            <w:tcBorders>
              <w:left w:val="single" w:color="auto" w:sz="4" w:space="0"/>
              <w:right w:val="single" w:color="auto" w:sz="4" w:space="0"/>
            </w:tcBorders>
            <w:tcW w:w="1059" w:type="pct"/>
            <w:vAlign w:val="center"/>
            <w:textDirection w:val="lrTb"/>
            <w:noWrap w:val="false"/>
          </w:tcPr>
          <w:p>
            <w:pPr>
              <w:pStyle w:val="973"/>
              <w:jc w:val="center"/>
              <w:rPr>
                <w:rFonts w:hint="eastAsia" w:ascii="Times New Roman" w:hAnsi="Times New Roman" w:eastAsia="宋体" w:cs="宋体"/>
                <w:sz w:val="24"/>
                <w:szCs w:val="24"/>
              </w:rPr>
            </w:pPr>
            <w:r>
              <w:rPr>
                <w:rFonts w:hint="eastAsia" w:ascii="Times New Roman" w:hAnsi="Times New Roman" w:eastAsia="宋体" w:cs="宋体"/>
                <w:sz w:val="24"/>
                <w:szCs w:val="24"/>
              </w:rPr>
              <w:t xml:space="preserve">工业</w:t>
            </w:r>
            <w:r/>
          </w:p>
        </w:tc>
      </w:tr>
      <w:tr>
        <w:trPr>
          <w:cantSplit/>
          <w:jc w:val="center"/>
          <w:trHeight w:val="107"/>
        </w:trPr>
        <w:tc>
          <w:tcPr>
            <w:tcBorders>
              <w:left w:val="single" w:color="auto" w:sz="4" w:space="0"/>
              <w:right w:val="single" w:color="auto" w:sz="4" w:space="0"/>
            </w:tcBorders>
            <w:tcW w:w="423" w:type="pct"/>
            <w:vAlign w:val="center"/>
            <w:textDirection w:val="lrTb"/>
            <w:noWrap w:val="false"/>
          </w:tcPr>
          <w:p>
            <w:pPr>
              <w:contextualSpacing/>
              <w:jc w:val="center"/>
              <w:spacing w:line="360" w:lineRule="auto"/>
              <w:widowControl/>
              <w:rPr>
                <w:rFonts w:ascii="Times New Roman" w:hAnsi="Times New Roman" w:eastAsia="宋体" w:cs="宋体"/>
                <w:szCs w:val="24"/>
              </w:rPr>
            </w:pPr>
            <w:r>
              <w:rPr>
                <w:rFonts w:hint="eastAsia" w:ascii="Times New Roman" w:hAnsi="Times New Roman" w:eastAsia="宋体" w:cs="宋体"/>
                <w:szCs w:val="24"/>
              </w:rPr>
              <w:t xml:space="preserve">6</w:t>
            </w:r>
            <w:r/>
          </w:p>
        </w:tc>
        <w:tc>
          <w:tcPr>
            <w:tcBorders>
              <w:left w:val="single" w:color="auto" w:sz="4" w:space="0"/>
              <w:right w:val="single" w:color="auto" w:sz="4" w:space="0"/>
            </w:tcBorders>
            <w:tcW w:w="2116" w:type="pct"/>
            <w:vAlign w:val="center"/>
            <w:textDirection w:val="lrTb"/>
            <w:noWrap w:val="false"/>
          </w:tcPr>
          <w:p>
            <w:pPr>
              <w:pStyle w:val="973"/>
              <w:rPr>
                <w:rFonts w:ascii="Times New Roman" w:hAnsi="Times New Roman" w:eastAsia="宋体" w:cs="宋体"/>
                <w:sz w:val="24"/>
                <w:szCs w:val="24"/>
              </w:rPr>
            </w:pPr>
            <w:r>
              <w:rPr>
                <w:rFonts w:hint="eastAsia" w:ascii="Times New Roman" w:hAnsi="Times New Roman" w:eastAsia="宋体" w:cs="宋体"/>
                <w:sz w:val="24"/>
                <w:szCs w:val="24"/>
              </w:rPr>
              <w:t xml:space="preserve">全自动流动注射分析仪</w:t>
            </w:r>
            <w:r/>
          </w:p>
        </w:tc>
        <w:tc>
          <w:tcPr>
            <w:tcBorders>
              <w:left w:val="single" w:color="auto" w:sz="4" w:space="0"/>
              <w:right w:val="single" w:color="auto" w:sz="4" w:space="0"/>
            </w:tcBorders>
            <w:tcW w:w="549" w:type="pct"/>
            <w:vAlign w:val="center"/>
            <w:textDirection w:val="lrTb"/>
            <w:noWrap w:val="false"/>
          </w:tcPr>
          <w:p>
            <w:pPr>
              <w:pStyle w:val="973"/>
              <w:jc w:val="center"/>
              <w:rPr>
                <w:rFonts w:ascii="Times New Roman" w:hAnsi="Times New Roman" w:eastAsia="宋体" w:cs="宋体"/>
                <w:sz w:val="24"/>
                <w:szCs w:val="24"/>
              </w:rPr>
            </w:pPr>
            <w:r>
              <w:rPr>
                <w:rFonts w:hint="eastAsia" w:ascii="Times New Roman" w:hAnsi="Times New Roman" w:eastAsia="宋体" w:cs="宋体"/>
                <w:sz w:val="24"/>
                <w:szCs w:val="24"/>
              </w:rPr>
              <w:t xml:space="preserve">4</w:t>
            </w:r>
            <w:r/>
          </w:p>
        </w:tc>
        <w:tc>
          <w:tcPr>
            <w:tcBorders>
              <w:left w:val="single" w:color="auto" w:sz="4" w:space="0"/>
              <w:right w:val="single" w:color="auto" w:sz="4" w:space="0"/>
            </w:tcBorders>
            <w:tcW w:w="851" w:type="pct"/>
            <w:vAlign w:val="center"/>
            <w:textDirection w:val="lrTb"/>
            <w:noWrap w:val="false"/>
          </w:tcPr>
          <w:p>
            <w:pPr>
              <w:pStyle w:val="973"/>
              <w:jc w:val="center"/>
              <w:rPr>
                <w:rFonts w:hint="eastAsia" w:ascii="Times New Roman" w:hAnsi="Times New Roman" w:eastAsia="宋体" w:cs="宋体"/>
                <w:sz w:val="24"/>
                <w:szCs w:val="24"/>
              </w:rPr>
            </w:pPr>
            <w:r>
              <w:rPr>
                <w:rFonts w:hint="eastAsia" w:ascii="Times New Roman" w:hAnsi="Times New Roman" w:eastAsia="宋体" w:cs="宋体"/>
                <w:sz w:val="24"/>
                <w:szCs w:val="24"/>
              </w:rPr>
              <w:t xml:space="preserve">套</w:t>
            </w:r>
            <w:r/>
          </w:p>
        </w:tc>
        <w:tc>
          <w:tcPr>
            <w:tcBorders>
              <w:left w:val="single" w:color="auto" w:sz="4" w:space="0"/>
              <w:right w:val="single" w:color="auto" w:sz="4" w:space="0"/>
            </w:tcBorders>
            <w:tcW w:w="1059" w:type="pct"/>
            <w:vAlign w:val="center"/>
            <w:textDirection w:val="lrTb"/>
            <w:noWrap w:val="false"/>
          </w:tcPr>
          <w:p>
            <w:pPr>
              <w:pStyle w:val="973"/>
              <w:jc w:val="center"/>
              <w:rPr>
                <w:rFonts w:hint="eastAsia" w:ascii="Times New Roman" w:hAnsi="Times New Roman" w:eastAsia="宋体" w:cs="宋体"/>
                <w:sz w:val="24"/>
                <w:szCs w:val="24"/>
              </w:rPr>
            </w:pPr>
            <w:r>
              <w:rPr>
                <w:rFonts w:hint="eastAsia" w:ascii="Times New Roman" w:hAnsi="Times New Roman" w:eastAsia="宋体" w:cs="宋体"/>
                <w:sz w:val="24"/>
                <w:szCs w:val="24"/>
              </w:rPr>
              <w:t xml:space="preserve">工业</w:t>
            </w:r>
            <w:r/>
          </w:p>
        </w:tc>
      </w:tr>
      <w:tr>
        <w:trPr>
          <w:cantSplit/>
          <w:jc w:val="center"/>
          <w:trHeight w:val="107"/>
        </w:trPr>
        <w:tc>
          <w:tcPr>
            <w:tcBorders>
              <w:left w:val="single" w:color="auto" w:sz="4" w:space="0"/>
              <w:right w:val="single" w:color="auto" w:sz="4" w:space="0"/>
            </w:tcBorders>
            <w:tcW w:w="423" w:type="pct"/>
            <w:vAlign w:val="center"/>
            <w:textDirection w:val="lrTb"/>
            <w:noWrap w:val="false"/>
          </w:tcPr>
          <w:p>
            <w:pPr>
              <w:contextualSpacing/>
              <w:jc w:val="center"/>
              <w:spacing w:line="360" w:lineRule="auto"/>
              <w:widowControl/>
              <w:rPr>
                <w:rFonts w:ascii="Times New Roman" w:hAnsi="Times New Roman" w:eastAsia="宋体" w:cs="宋体"/>
                <w:szCs w:val="24"/>
              </w:rPr>
            </w:pPr>
            <w:r>
              <w:rPr>
                <w:rFonts w:hint="eastAsia" w:ascii="Times New Roman" w:hAnsi="Times New Roman" w:eastAsia="宋体" w:cs="宋体"/>
                <w:szCs w:val="24"/>
              </w:rPr>
              <w:t xml:space="preserve">7</w:t>
            </w:r>
            <w:r/>
          </w:p>
        </w:tc>
        <w:tc>
          <w:tcPr>
            <w:tcBorders>
              <w:left w:val="single" w:color="auto" w:sz="4" w:space="0"/>
              <w:right w:val="single" w:color="auto" w:sz="4" w:space="0"/>
            </w:tcBorders>
            <w:tcW w:w="2116" w:type="pct"/>
            <w:vAlign w:val="center"/>
            <w:textDirection w:val="lrTb"/>
            <w:noWrap w:val="false"/>
          </w:tcPr>
          <w:p>
            <w:pPr>
              <w:pStyle w:val="973"/>
              <w:rPr>
                <w:rFonts w:ascii="Times New Roman" w:hAnsi="Times New Roman" w:eastAsia="宋体" w:cs="宋体"/>
                <w:sz w:val="24"/>
                <w:szCs w:val="24"/>
              </w:rPr>
            </w:pPr>
            <w:r>
              <w:rPr>
                <w:rFonts w:hint="eastAsia" w:ascii="Times New Roman" w:hAnsi="Times New Roman" w:eastAsia="宋体" w:cs="宋体"/>
                <w:sz w:val="24"/>
                <w:szCs w:val="24"/>
              </w:rPr>
              <w:t xml:space="preserve">全自动六价铬分析仪</w:t>
            </w:r>
            <w:r/>
          </w:p>
        </w:tc>
        <w:tc>
          <w:tcPr>
            <w:tcBorders>
              <w:left w:val="single" w:color="auto" w:sz="4" w:space="0"/>
              <w:right w:val="single" w:color="auto" w:sz="4" w:space="0"/>
            </w:tcBorders>
            <w:tcW w:w="549" w:type="pct"/>
            <w:vAlign w:val="center"/>
            <w:textDirection w:val="lrTb"/>
            <w:noWrap w:val="false"/>
          </w:tcPr>
          <w:p>
            <w:pPr>
              <w:pStyle w:val="973"/>
              <w:jc w:val="center"/>
              <w:rPr>
                <w:rFonts w:ascii="Times New Roman" w:hAnsi="Times New Roman" w:eastAsia="宋体" w:cs="宋体"/>
                <w:sz w:val="24"/>
                <w:szCs w:val="24"/>
              </w:rPr>
            </w:pPr>
            <w:r>
              <w:rPr>
                <w:rFonts w:hint="eastAsia" w:ascii="Times New Roman" w:hAnsi="Times New Roman" w:eastAsia="宋体" w:cs="宋体"/>
                <w:sz w:val="24"/>
                <w:szCs w:val="24"/>
              </w:rPr>
              <w:t xml:space="preserve">1</w:t>
            </w:r>
            <w:r/>
          </w:p>
        </w:tc>
        <w:tc>
          <w:tcPr>
            <w:tcBorders>
              <w:left w:val="single" w:color="auto" w:sz="4" w:space="0"/>
              <w:right w:val="single" w:color="auto" w:sz="4" w:space="0"/>
            </w:tcBorders>
            <w:tcW w:w="851" w:type="pct"/>
            <w:vAlign w:val="center"/>
            <w:textDirection w:val="lrTb"/>
            <w:noWrap w:val="false"/>
          </w:tcPr>
          <w:p>
            <w:pPr>
              <w:pStyle w:val="973"/>
              <w:jc w:val="center"/>
              <w:rPr>
                <w:rFonts w:hint="eastAsia" w:ascii="Times New Roman" w:hAnsi="Times New Roman" w:eastAsia="宋体" w:cs="宋体"/>
                <w:sz w:val="24"/>
                <w:szCs w:val="24"/>
              </w:rPr>
            </w:pPr>
            <w:r>
              <w:rPr>
                <w:rFonts w:hint="eastAsia" w:ascii="Times New Roman" w:hAnsi="Times New Roman" w:eastAsia="宋体" w:cs="宋体"/>
                <w:sz w:val="24"/>
                <w:szCs w:val="24"/>
              </w:rPr>
              <w:t xml:space="preserve">套</w:t>
            </w:r>
            <w:r/>
          </w:p>
        </w:tc>
        <w:tc>
          <w:tcPr>
            <w:tcBorders>
              <w:left w:val="single" w:color="auto" w:sz="4" w:space="0"/>
              <w:right w:val="single" w:color="auto" w:sz="4" w:space="0"/>
            </w:tcBorders>
            <w:tcW w:w="1059" w:type="pct"/>
            <w:vAlign w:val="center"/>
            <w:textDirection w:val="lrTb"/>
            <w:noWrap w:val="false"/>
          </w:tcPr>
          <w:p>
            <w:pPr>
              <w:pStyle w:val="973"/>
              <w:jc w:val="center"/>
              <w:rPr>
                <w:rFonts w:hint="eastAsia" w:ascii="Times New Roman" w:hAnsi="Times New Roman" w:eastAsia="宋体" w:cs="宋体"/>
                <w:sz w:val="24"/>
                <w:szCs w:val="24"/>
              </w:rPr>
            </w:pPr>
            <w:r>
              <w:rPr>
                <w:rFonts w:hint="eastAsia" w:ascii="Times New Roman" w:hAnsi="Times New Roman" w:eastAsia="宋体" w:cs="宋体"/>
                <w:sz w:val="24"/>
                <w:szCs w:val="24"/>
              </w:rPr>
              <w:t xml:space="preserve">工业</w:t>
            </w:r>
            <w:r/>
          </w:p>
        </w:tc>
      </w:tr>
      <w:tr>
        <w:trPr>
          <w:cantSplit/>
          <w:jc w:val="center"/>
          <w:trHeight w:val="107"/>
        </w:trPr>
        <w:tc>
          <w:tcPr>
            <w:tcBorders>
              <w:left w:val="single" w:color="auto" w:sz="4" w:space="0"/>
              <w:right w:val="single" w:color="auto" w:sz="4" w:space="0"/>
            </w:tcBorders>
            <w:tcW w:w="423" w:type="pct"/>
            <w:vAlign w:val="center"/>
            <w:textDirection w:val="lrTb"/>
            <w:noWrap w:val="false"/>
          </w:tcPr>
          <w:p>
            <w:pPr>
              <w:contextualSpacing/>
              <w:jc w:val="center"/>
              <w:spacing w:line="360" w:lineRule="auto"/>
              <w:widowControl/>
              <w:rPr>
                <w:rFonts w:ascii="Times New Roman" w:hAnsi="Times New Roman" w:eastAsia="宋体" w:cs="宋体"/>
                <w:szCs w:val="24"/>
              </w:rPr>
            </w:pPr>
            <w:r>
              <w:rPr>
                <w:rFonts w:hint="eastAsia" w:ascii="Times New Roman" w:hAnsi="Times New Roman" w:eastAsia="宋体" w:cs="宋体"/>
                <w:szCs w:val="24"/>
              </w:rPr>
              <w:t xml:space="preserve">8</w:t>
            </w:r>
            <w:r/>
          </w:p>
        </w:tc>
        <w:tc>
          <w:tcPr>
            <w:tcBorders>
              <w:left w:val="single" w:color="auto" w:sz="4" w:space="0"/>
              <w:right w:val="single" w:color="auto" w:sz="4" w:space="0"/>
            </w:tcBorders>
            <w:tcW w:w="2116" w:type="pct"/>
            <w:vAlign w:val="center"/>
            <w:textDirection w:val="lrTb"/>
            <w:noWrap w:val="false"/>
          </w:tcPr>
          <w:p>
            <w:pPr>
              <w:pStyle w:val="973"/>
              <w:rPr>
                <w:rFonts w:ascii="Times New Roman" w:hAnsi="Times New Roman" w:eastAsia="宋体" w:cs="宋体"/>
                <w:sz w:val="24"/>
                <w:szCs w:val="24"/>
              </w:rPr>
            </w:pPr>
            <w:r>
              <w:rPr>
                <w:rFonts w:hint="eastAsia" w:ascii="Times New Roman" w:hAnsi="Times New Roman" w:eastAsia="宋体" w:cs="宋体"/>
                <w:sz w:val="24"/>
                <w:szCs w:val="24"/>
              </w:rPr>
              <w:t xml:space="preserve">全自动原子荧光分析仪</w:t>
            </w:r>
            <w:r/>
          </w:p>
        </w:tc>
        <w:tc>
          <w:tcPr>
            <w:tcBorders>
              <w:left w:val="single" w:color="auto" w:sz="4" w:space="0"/>
              <w:right w:val="single" w:color="auto" w:sz="4" w:space="0"/>
            </w:tcBorders>
            <w:tcW w:w="549" w:type="pct"/>
            <w:vAlign w:val="center"/>
            <w:textDirection w:val="lrTb"/>
            <w:noWrap w:val="false"/>
          </w:tcPr>
          <w:p>
            <w:pPr>
              <w:pStyle w:val="973"/>
              <w:jc w:val="center"/>
              <w:rPr>
                <w:rFonts w:ascii="Times New Roman" w:hAnsi="Times New Roman" w:eastAsia="宋体" w:cs="宋体"/>
                <w:sz w:val="24"/>
                <w:szCs w:val="24"/>
              </w:rPr>
            </w:pPr>
            <w:r>
              <w:rPr>
                <w:rFonts w:hint="eastAsia" w:ascii="Times New Roman" w:hAnsi="Times New Roman" w:eastAsia="宋体" w:cs="宋体"/>
                <w:sz w:val="24"/>
                <w:szCs w:val="24"/>
              </w:rPr>
              <w:t xml:space="preserve">1</w:t>
            </w:r>
            <w:r/>
          </w:p>
        </w:tc>
        <w:tc>
          <w:tcPr>
            <w:tcBorders>
              <w:left w:val="single" w:color="auto" w:sz="4" w:space="0"/>
              <w:right w:val="single" w:color="auto" w:sz="4" w:space="0"/>
            </w:tcBorders>
            <w:tcW w:w="851" w:type="pct"/>
            <w:vAlign w:val="center"/>
            <w:textDirection w:val="lrTb"/>
            <w:noWrap w:val="false"/>
          </w:tcPr>
          <w:p>
            <w:pPr>
              <w:pStyle w:val="973"/>
              <w:jc w:val="center"/>
              <w:rPr>
                <w:rFonts w:hint="eastAsia" w:ascii="Times New Roman" w:hAnsi="Times New Roman" w:eastAsia="宋体" w:cs="宋体"/>
                <w:sz w:val="24"/>
                <w:szCs w:val="24"/>
              </w:rPr>
            </w:pPr>
            <w:r>
              <w:rPr>
                <w:rFonts w:hint="eastAsia" w:ascii="Times New Roman" w:hAnsi="Times New Roman" w:eastAsia="宋体" w:cs="宋体"/>
                <w:sz w:val="24"/>
                <w:szCs w:val="24"/>
              </w:rPr>
              <w:t xml:space="preserve">套</w:t>
            </w:r>
            <w:r/>
          </w:p>
        </w:tc>
        <w:tc>
          <w:tcPr>
            <w:tcBorders>
              <w:left w:val="single" w:color="auto" w:sz="4" w:space="0"/>
              <w:right w:val="single" w:color="auto" w:sz="4" w:space="0"/>
            </w:tcBorders>
            <w:tcW w:w="1059" w:type="pct"/>
            <w:vAlign w:val="center"/>
            <w:textDirection w:val="lrTb"/>
            <w:noWrap w:val="false"/>
          </w:tcPr>
          <w:p>
            <w:pPr>
              <w:pStyle w:val="973"/>
              <w:jc w:val="center"/>
              <w:rPr>
                <w:rFonts w:hint="eastAsia" w:ascii="Times New Roman" w:hAnsi="Times New Roman" w:eastAsia="宋体" w:cs="宋体"/>
                <w:sz w:val="24"/>
                <w:szCs w:val="24"/>
              </w:rPr>
            </w:pPr>
            <w:r>
              <w:rPr>
                <w:rFonts w:hint="eastAsia" w:ascii="Times New Roman" w:hAnsi="Times New Roman" w:eastAsia="宋体" w:cs="宋体"/>
                <w:sz w:val="24"/>
                <w:szCs w:val="24"/>
              </w:rPr>
              <w:t xml:space="preserve">工业</w:t>
            </w:r>
            <w:r/>
          </w:p>
        </w:tc>
      </w:tr>
      <w:tr>
        <w:trPr>
          <w:cantSplit/>
          <w:jc w:val="center"/>
          <w:trHeight w:val="107"/>
        </w:trPr>
        <w:tc>
          <w:tcPr>
            <w:tcBorders>
              <w:left w:val="single" w:color="auto" w:sz="4" w:space="0"/>
              <w:right w:val="single" w:color="auto" w:sz="4" w:space="0"/>
            </w:tcBorders>
            <w:tcW w:w="423" w:type="pct"/>
            <w:vAlign w:val="center"/>
            <w:textDirection w:val="lrTb"/>
            <w:noWrap w:val="false"/>
          </w:tcPr>
          <w:p>
            <w:pPr>
              <w:contextualSpacing/>
              <w:jc w:val="center"/>
              <w:spacing w:line="360" w:lineRule="auto"/>
              <w:widowControl/>
              <w:rPr>
                <w:rFonts w:ascii="Times New Roman" w:hAnsi="Times New Roman" w:eastAsia="宋体" w:cs="宋体"/>
                <w:szCs w:val="24"/>
              </w:rPr>
            </w:pPr>
            <w:r>
              <w:rPr>
                <w:rFonts w:hint="eastAsia" w:ascii="Times New Roman" w:hAnsi="Times New Roman" w:eastAsia="宋体" w:cs="宋体"/>
                <w:szCs w:val="24"/>
              </w:rPr>
              <w:t xml:space="preserve">9</w:t>
            </w:r>
            <w:r/>
          </w:p>
        </w:tc>
        <w:tc>
          <w:tcPr>
            <w:tcBorders>
              <w:left w:val="single" w:color="auto" w:sz="4" w:space="0"/>
              <w:right w:val="single" w:color="auto" w:sz="4" w:space="0"/>
            </w:tcBorders>
            <w:tcW w:w="2116" w:type="pct"/>
            <w:vAlign w:val="center"/>
            <w:textDirection w:val="lrTb"/>
            <w:noWrap w:val="false"/>
          </w:tcPr>
          <w:p>
            <w:pPr>
              <w:pStyle w:val="973"/>
              <w:rPr>
                <w:rFonts w:ascii="Times New Roman" w:hAnsi="Times New Roman" w:eastAsia="宋体" w:cs="宋体"/>
                <w:sz w:val="24"/>
                <w:szCs w:val="24"/>
              </w:rPr>
            </w:pPr>
            <w:r>
              <w:rPr>
                <w:rFonts w:hint="eastAsia" w:ascii="Times New Roman" w:hAnsi="Times New Roman" w:eastAsia="宋体" w:cs="宋体"/>
                <w:sz w:val="24"/>
                <w:szCs w:val="24"/>
              </w:rPr>
              <w:t xml:space="preserve">全自动石油类分析仪</w:t>
            </w:r>
            <w:r/>
          </w:p>
        </w:tc>
        <w:tc>
          <w:tcPr>
            <w:tcBorders>
              <w:left w:val="single" w:color="auto" w:sz="4" w:space="0"/>
              <w:right w:val="single" w:color="auto" w:sz="4" w:space="0"/>
            </w:tcBorders>
            <w:tcW w:w="549" w:type="pct"/>
            <w:vAlign w:val="center"/>
            <w:textDirection w:val="lrTb"/>
            <w:noWrap w:val="false"/>
          </w:tcPr>
          <w:p>
            <w:pPr>
              <w:pStyle w:val="973"/>
              <w:jc w:val="center"/>
              <w:rPr>
                <w:rFonts w:ascii="Times New Roman" w:hAnsi="Times New Roman" w:eastAsia="宋体" w:cs="宋体"/>
                <w:sz w:val="24"/>
                <w:szCs w:val="24"/>
              </w:rPr>
            </w:pPr>
            <w:r>
              <w:rPr>
                <w:rFonts w:hint="eastAsia" w:ascii="Times New Roman" w:hAnsi="Times New Roman" w:eastAsia="宋体" w:cs="宋体"/>
                <w:sz w:val="24"/>
                <w:szCs w:val="24"/>
              </w:rPr>
              <w:t xml:space="preserve">1</w:t>
            </w:r>
            <w:r/>
          </w:p>
        </w:tc>
        <w:tc>
          <w:tcPr>
            <w:tcBorders>
              <w:left w:val="single" w:color="auto" w:sz="4" w:space="0"/>
              <w:right w:val="single" w:color="auto" w:sz="4" w:space="0"/>
            </w:tcBorders>
            <w:tcW w:w="851" w:type="pct"/>
            <w:vAlign w:val="center"/>
            <w:textDirection w:val="lrTb"/>
            <w:noWrap w:val="false"/>
          </w:tcPr>
          <w:p>
            <w:pPr>
              <w:pStyle w:val="973"/>
              <w:jc w:val="center"/>
              <w:rPr>
                <w:rFonts w:hint="eastAsia" w:ascii="Times New Roman" w:hAnsi="Times New Roman" w:eastAsia="宋体" w:cs="宋体"/>
                <w:sz w:val="24"/>
                <w:szCs w:val="24"/>
              </w:rPr>
            </w:pPr>
            <w:r>
              <w:rPr>
                <w:rFonts w:hint="eastAsia" w:ascii="Times New Roman" w:hAnsi="Times New Roman" w:eastAsia="宋体" w:cs="宋体"/>
                <w:sz w:val="24"/>
                <w:szCs w:val="24"/>
              </w:rPr>
              <w:t xml:space="preserve">套</w:t>
            </w:r>
            <w:r/>
          </w:p>
        </w:tc>
        <w:tc>
          <w:tcPr>
            <w:tcBorders>
              <w:left w:val="single" w:color="auto" w:sz="4" w:space="0"/>
              <w:right w:val="single" w:color="auto" w:sz="4" w:space="0"/>
            </w:tcBorders>
            <w:tcW w:w="1059" w:type="pct"/>
            <w:vAlign w:val="center"/>
            <w:textDirection w:val="lrTb"/>
            <w:noWrap w:val="false"/>
          </w:tcPr>
          <w:p>
            <w:pPr>
              <w:pStyle w:val="973"/>
              <w:jc w:val="center"/>
              <w:rPr>
                <w:rFonts w:hint="eastAsia" w:ascii="Times New Roman" w:hAnsi="Times New Roman" w:eastAsia="宋体" w:cs="宋体"/>
                <w:sz w:val="24"/>
                <w:szCs w:val="24"/>
              </w:rPr>
            </w:pPr>
            <w:r>
              <w:rPr>
                <w:rFonts w:hint="eastAsia" w:ascii="Times New Roman" w:hAnsi="Times New Roman" w:eastAsia="宋体" w:cs="宋体"/>
                <w:sz w:val="24"/>
                <w:szCs w:val="24"/>
              </w:rPr>
              <w:t xml:space="preserve">工业</w:t>
            </w:r>
            <w:r/>
          </w:p>
        </w:tc>
      </w:tr>
      <w:tr>
        <w:trPr>
          <w:cantSplit/>
          <w:jc w:val="center"/>
          <w:trHeight w:val="107"/>
        </w:trPr>
        <w:tc>
          <w:tcPr>
            <w:tcBorders>
              <w:left w:val="single" w:color="auto" w:sz="4" w:space="0"/>
              <w:right w:val="single" w:color="auto" w:sz="4" w:space="0"/>
            </w:tcBorders>
            <w:tcW w:w="423" w:type="pct"/>
            <w:vAlign w:val="center"/>
            <w:textDirection w:val="lrTb"/>
            <w:noWrap w:val="false"/>
          </w:tcPr>
          <w:p>
            <w:pPr>
              <w:contextualSpacing/>
              <w:jc w:val="center"/>
              <w:spacing w:line="360" w:lineRule="auto"/>
              <w:widowControl/>
              <w:rPr>
                <w:rFonts w:ascii="Times New Roman" w:hAnsi="Times New Roman" w:eastAsia="宋体" w:cs="宋体"/>
                <w:szCs w:val="24"/>
              </w:rPr>
            </w:pPr>
            <w:r>
              <w:rPr>
                <w:rFonts w:hint="eastAsia" w:ascii="Times New Roman" w:hAnsi="Times New Roman" w:eastAsia="宋体" w:cs="宋体"/>
                <w:szCs w:val="24"/>
              </w:rPr>
              <w:t xml:space="preserve">10</w:t>
            </w:r>
            <w:r/>
          </w:p>
        </w:tc>
        <w:tc>
          <w:tcPr>
            <w:tcBorders>
              <w:left w:val="single" w:color="auto" w:sz="4" w:space="0"/>
              <w:right w:val="single" w:color="auto" w:sz="4" w:space="0"/>
            </w:tcBorders>
            <w:tcW w:w="2116" w:type="pct"/>
            <w:vAlign w:val="center"/>
            <w:textDirection w:val="lrTb"/>
            <w:noWrap w:val="false"/>
          </w:tcPr>
          <w:p>
            <w:pPr>
              <w:pStyle w:val="973"/>
              <w:rPr>
                <w:rFonts w:ascii="Times New Roman" w:hAnsi="Times New Roman" w:eastAsia="宋体" w:cs="宋体"/>
                <w:sz w:val="24"/>
                <w:szCs w:val="24"/>
              </w:rPr>
            </w:pPr>
            <w:r>
              <w:rPr>
                <w:rFonts w:hint="eastAsia" w:ascii="Times New Roman" w:hAnsi="Times New Roman" w:eastAsia="宋体" w:cs="宋体"/>
                <w:sz w:val="24"/>
                <w:szCs w:val="24"/>
              </w:rPr>
              <w:t xml:space="preserve">全自动分液单元</w:t>
            </w:r>
            <w:r/>
          </w:p>
        </w:tc>
        <w:tc>
          <w:tcPr>
            <w:tcBorders>
              <w:left w:val="single" w:color="auto" w:sz="4" w:space="0"/>
              <w:right w:val="single" w:color="auto" w:sz="4" w:space="0"/>
            </w:tcBorders>
            <w:tcW w:w="549" w:type="pct"/>
            <w:vAlign w:val="center"/>
            <w:textDirection w:val="lrTb"/>
            <w:noWrap w:val="false"/>
          </w:tcPr>
          <w:p>
            <w:pPr>
              <w:jc w:val="center"/>
              <w:rPr>
                <w:rFonts w:ascii="Times New Roman" w:hAnsi="Times New Roman" w:eastAsia="宋体"/>
                <w:szCs w:val="24"/>
              </w:rPr>
            </w:pPr>
            <w:r>
              <w:rPr>
                <w:rFonts w:hint="eastAsia" w:ascii="Times New Roman" w:hAnsi="Times New Roman" w:eastAsia="宋体"/>
                <w:szCs w:val="24"/>
              </w:rPr>
              <w:t xml:space="preserve">1</w:t>
            </w:r>
            <w:r/>
          </w:p>
        </w:tc>
        <w:tc>
          <w:tcPr>
            <w:tcBorders>
              <w:left w:val="single" w:color="auto" w:sz="4" w:space="0"/>
              <w:right w:val="single" w:color="auto" w:sz="4" w:space="0"/>
            </w:tcBorders>
            <w:tcW w:w="851" w:type="pct"/>
            <w:vAlign w:val="center"/>
            <w:textDirection w:val="lrTb"/>
            <w:noWrap w:val="false"/>
          </w:tcPr>
          <w:p>
            <w:pPr>
              <w:jc w:val="center"/>
              <w:rPr>
                <w:rFonts w:hint="eastAsia" w:ascii="Times New Roman" w:hAnsi="Times New Roman" w:eastAsia="宋体" w:cs="宋体"/>
                <w:sz w:val="24"/>
                <w:szCs w:val="24"/>
                <w:lang w:val="en-US" w:eastAsia="zh-CN" w:bidi="ar-SA"/>
              </w:rPr>
            </w:pPr>
            <w:r>
              <w:rPr>
                <w:rFonts w:hint="eastAsia" w:ascii="Times New Roman" w:hAnsi="Times New Roman" w:eastAsia="宋体" w:cs="宋体"/>
                <w:sz w:val="24"/>
                <w:szCs w:val="24"/>
                <w:lang w:val="en-US" w:eastAsia="zh-CN" w:bidi="ar-SA"/>
              </w:rPr>
              <w:t xml:space="preserve">套</w:t>
            </w:r>
            <w:r/>
          </w:p>
        </w:tc>
        <w:tc>
          <w:tcPr>
            <w:tcBorders>
              <w:left w:val="single" w:color="auto" w:sz="4" w:space="0"/>
              <w:right w:val="single" w:color="auto" w:sz="4" w:space="0"/>
            </w:tcBorders>
            <w:tcW w:w="1059" w:type="pct"/>
            <w:vAlign w:val="center"/>
            <w:textDirection w:val="lrTb"/>
            <w:noWrap w:val="false"/>
          </w:tcPr>
          <w:p>
            <w:pPr>
              <w:contextualSpacing/>
              <w:jc w:val="center"/>
              <w:spacing w:line="360" w:lineRule="auto"/>
              <w:rPr>
                <w:rFonts w:hint="eastAsia" w:ascii="Times New Roman" w:hAnsi="Times New Roman" w:eastAsia="宋体" w:cs="宋体"/>
                <w:sz w:val="24"/>
                <w:szCs w:val="24"/>
                <w:lang w:val="en-US" w:eastAsia="zh-CN" w:bidi="ar-SA"/>
              </w:rPr>
            </w:pPr>
            <w:r>
              <w:rPr>
                <w:rFonts w:hint="eastAsia" w:ascii="Times New Roman" w:hAnsi="Times New Roman" w:eastAsia="宋体" w:cs="宋体"/>
                <w:sz w:val="24"/>
                <w:szCs w:val="24"/>
                <w:lang w:val="en-US" w:eastAsia="zh-CN" w:bidi="ar-SA"/>
              </w:rPr>
              <w:t xml:space="preserve">工业</w:t>
            </w:r>
            <w:r/>
          </w:p>
        </w:tc>
      </w:tr>
      <w:tr>
        <w:trPr>
          <w:cantSplit/>
          <w:jc w:val="center"/>
          <w:trHeight w:val="107"/>
        </w:trPr>
        <w:tc>
          <w:tcPr>
            <w:tcBorders>
              <w:left w:val="single" w:color="auto" w:sz="4" w:space="0"/>
              <w:right w:val="single" w:color="auto" w:sz="4" w:space="0"/>
            </w:tcBorders>
            <w:tcW w:w="423" w:type="pct"/>
            <w:vAlign w:val="center"/>
            <w:textDirection w:val="lrTb"/>
            <w:noWrap w:val="false"/>
          </w:tcPr>
          <w:p>
            <w:pPr>
              <w:contextualSpacing/>
              <w:jc w:val="center"/>
              <w:spacing w:line="360" w:lineRule="auto"/>
              <w:widowControl/>
              <w:rPr>
                <w:rFonts w:ascii="Times New Roman" w:hAnsi="Times New Roman" w:eastAsia="宋体" w:cs="宋体"/>
                <w:szCs w:val="24"/>
              </w:rPr>
            </w:pPr>
            <w:r>
              <w:rPr>
                <w:rFonts w:hint="eastAsia" w:ascii="Times New Roman" w:hAnsi="Times New Roman" w:eastAsia="宋体" w:cs="宋体"/>
                <w:szCs w:val="24"/>
              </w:rPr>
              <w:t xml:space="preserve">11</w:t>
            </w:r>
            <w:r/>
          </w:p>
        </w:tc>
        <w:tc>
          <w:tcPr>
            <w:tcBorders>
              <w:left w:val="single" w:color="auto" w:sz="4" w:space="0"/>
              <w:right w:val="single" w:color="auto" w:sz="4" w:space="0"/>
            </w:tcBorders>
            <w:tcW w:w="2116" w:type="pct"/>
            <w:vAlign w:val="center"/>
            <w:textDirection w:val="lrTb"/>
            <w:noWrap w:val="false"/>
          </w:tcPr>
          <w:p>
            <w:pPr>
              <w:pStyle w:val="973"/>
              <w:rPr>
                <w:rFonts w:hint="eastAsia" w:ascii="Times New Roman" w:hAnsi="Times New Roman" w:eastAsia="宋体" w:cs="宋体"/>
                <w:sz w:val="24"/>
                <w:szCs w:val="24"/>
              </w:rPr>
            </w:pPr>
            <w:r>
              <w:rPr>
                <w:rFonts w:hint="eastAsia" w:ascii="Times New Roman" w:hAnsi="Times New Roman" w:eastAsia="宋体" w:cs="宋体"/>
                <w:sz w:val="24"/>
                <w:szCs w:val="24"/>
              </w:rPr>
              <w:t xml:space="preserve">全自动流转与进样单元</w:t>
            </w:r>
            <w:r/>
          </w:p>
        </w:tc>
        <w:tc>
          <w:tcPr>
            <w:tcBorders>
              <w:left w:val="single" w:color="auto" w:sz="4" w:space="0"/>
              <w:right w:val="single" w:color="auto" w:sz="4" w:space="0"/>
            </w:tcBorders>
            <w:tcW w:w="549" w:type="pct"/>
            <w:vAlign w:val="center"/>
            <w:textDirection w:val="lrTb"/>
            <w:noWrap w:val="false"/>
          </w:tcPr>
          <w:p>
            <w:pPr>
              <w:jc w:val="center"/>
              <w:rPr>
                <w:rFonts w:ascii="Times New Roman" w:hAnsi="Times New Roman" w:eastAsia="宋体"/>
                <w:szCs w:val="24"/>
              </w:rPr>
            </w:pPr>
            <w:r>
              <w:rPr>
                <w:rFonts w:hint="eastAsia" w:ascii="Times New Roman" w:hAnsi="Times New Roman" w:eastAsia="宋体"/>
                <w:szCs w:val="24"/>
              </w:rPr>
              <w:t xml:space="preserve">1</w:t>
            </w:r>
            <w:r/>
          </w:p>
        </w:tc>
        <w:tc>
          <w:tcPr>
            <w:tcBorders>
              <w:left w:val="single" w:color="auto" w:sz="4" w:space="0"/>
              <w:right w:val="single" w:color="auto" w:sz="4" w:space="0"/>
            </w:tcBorders>
            <w:tcW w:w="851" w:type="pct"/>
            <w:vAlign w:val="center"/>
            <w:textDirection w:val="lrTb"/>
            <w:noWrap w:val="false"/>
          </w:tcPr>
          <w:p>
            <w:pPr>
              <w:jc w:val="center"/>
              <w:rPr>
                <w:rFonts w:hint="eastAsia" w:ascii="Times New Roman" w:hAnsi="Times New Roman" w:eastAsia="宋体" w:cs="宋体"/>
                <w:sz w:val="24"/>
                <w:szCs w:val="24"/>
                <w:lang w:val="en-US" w:eastAsia="zh-CN" w:bidi="ar-SA"/>
              </w:rPr>
            </w:pPr>
            <w:r>
              <w:rPr>
                <w:rFonts w:hint="eastAsia" w:ascii="Times New Roman" w:hAnsi="Times New Roman" w:eastAsia="宋体" w:cs="宋体"/>
                <w:sz w:val="24"/>
                <w:szCs w:val="24"/>
                <w:lang w:val="en-US" w:eastAsia="zh-CN" w:bidi="ar-SA"/>
              </w:rPr>
              <w:t xml:space="preserve">套</w:t>
            </w:r>
            <w:r/>
          </w:p>
        </w:tc>
        <w:tc>
          <w:tcPr>
            <w:tcBorders>
              <w:left w:val="single" w:color="auto" w:sz="4" w:space="0"/>
              <w:right w:val="single" w:color="auto" w:sz="4" w:space="0"/>
            </w:tcBorders>
            <w:tcW w:w="1059" w:type="pct"/>
            <w:vAlign w:val="center"/>
            <w:textDirection w:val="lrTb"/>
            <w:noWrap w:val="false"/>
          </w:tcPr>
          <w:p>
            <w:pPr>
              <w:contextualSpacing/>
              <w:jc w:val="center"/>
              <w:spacing w:line="360" w:lineRule="auto"/>
              <w:rPr>
                <w:rFonts w:hint="eastAsia" w:ascii="Times New Roman" w:hAnsi="Times New Roman" w:eastAsia="宋体" w:cs="宋体"/>
                <w:sz w:val="24"/>
                <w:szCs w:val="24"/>
                <w:lang w:val="en-US" w:eastAsia="zh-CN" w:bidi="ar-SA"/>
              </w:rPr>
            </w:pPr>
            <w:r>
              <w:rPr>
                <w:rFonts w:hint="eastAsia" w:ascii="Times New Roman" w:hAnsi="Times New Roman" w:eastAsia="宋体" w:cs="宋体"/>
                <w:sz w:val="24"/>
                <w:szCs w:val="24"/>
                <w:lang w:val="en-US" w:eastAsia="zh-CN" w:bidi="ar-SA"/>
              </w:rPr>
              <w:t xml:space="preserve">工业</w:t>
            </w:r>
            <w:r/>
          </w:p>
        </w:tc>
      </w:tr>
      <w:tr>
        <w:trPr>
          <w:cantSplit/>
          <w:jc w:val="center"/>
          <w:trHeight w:val="107"/>
        </w:trPr>
        <w:tc>
          <w:tcPr>
            <w:tcBorders>
              <w:left w:val="single" w:color="auto" w:sz="4" w:space="0"/>
              <w:right w:val="single" w:color="auto" w:sz="4" w:space="0"/>
            </w:tcBorders>
            <w:tcW w:w="423" w:type="pct"/>
            <w:vAlign w:val="center"/>
            <w:textDirection w:val="lrTb"/>
            <w:noWrap w:val="false"/>
          </w:tcPr>
          <w:p>
            <w:pPr>
              <w:contextualSpacing/>
              <w:jc w:val="center"/>
              <w:spacing w:line="360" w:lineRule="auto"/>
              <w:widowControl/>
              <w:rPr>
                <w:rFonts w:ascii="Times New Roman" w:hAnsi="Times New Roman" w:eastAsia="宋体" w:cs="宋体"/>
                <w:szCs w:val="24"/>
              </w:rPr>
            </w:pPr>
            <w:r>
              <w:rPr>
                <w:rFonts w:hint="eastAsia" w:ascii="Times New Roman" w:hAnsi="Times New Roman" w:eastAsia="宋体" w:cs="宋体"/>
                <w:szCs w:val="24"/>
              </w:rPr>
              <w:t xml:space="preserve">12</w:t>
            </w:r>
            <w:r/>
          </w:p>
        </w:tc>
        <w:tc>
          <w:tcPr>
            <w:tcBorders>
              <w:left w:val="single" w:color="auto" w:sz="4" w:space="0"/>
              <w:right w:val="single" w:color="auto" w:sz="4" w:space="0"/>
            </w:tcBorders>
            <w:tcW w:w="2116" w:type="pct"/>
            <w:vAlign w:val="center"/>
            <w:textDirection w:val="lrTb"/>
            <w:noWrap w:val="false"/>
          </w:tcPr>
          <w:p>
            <w:pPr>
              <w:rPr>
                <w:rFonts w:hint="eastAsia" w:ascii="Times New Roman" w:hAnsi="Times New Roman" w:eastAsia="宋体" w:cs="宋体"/>
                <w:sz w:val="24"/>
                <w:szCs w:val="24"/>
                <w:lang w:val="en-US" w:eastAsia="zh-CN" w:bidi="ar-SA"/>
              </w:rPr>
            </w:pPr>
            <w:r>
              <w:rPr>
                <w:rFonts w:hint="eastAsia" w:ascii="Times New Roman" w:hAnsi="Times New Roman" w:eastAsia="宋体" w:cs="宋体"/>
                <w:sz w:val="24"/>
                <w:szCs w:val="24"/>
                <w:lang w:val="en-US" w:eastAsia="zh-CN" w:bidi="ar-SA"/>
              </w:rPr>
              <w:t xml:space="preserve">自动控制与管理单元</w:t>
            </w:r>
            <w:r/>
          </w:p>
        </w:tc>
        <w:tc>
          <w:tcPr>
            <w:tcBorders>
              <w:left w:val="single" w:color="auto" w:sz="4" w:space="0"/>
              <w:right w:val="single" w:color="auto" w:sz="4" w:space="0"/>
            </w:tcBorders>
            <w:tcW w:w="549" w:type="pct"/>
            <w:vAlign w:val="center"/>
            <w:textDirection w:val="lrTb"/>
            <w:noWrap w:val="false"/>
          </w:tcPr>
          <w:p>
            <w:pPr>
              <w:jc w:val="center"/>
              <w:rPr>
                <w:rFonts w:ascii="Times New Roman" w:hAnsi="Times New Roman" w:eastAsia="宋体"/>
                <w:szCs w:val="24"/>
              </w:rPr>
            </w:pPr>
            <w:r>
              <w:rPr>
                <w:rFonts w:hint="eastAsia" w:ascii="Times New Roman" w:hAnsi="Times New Roman" w:eastAsia="宋体"/>
                <w:szCs w:val="24"/>
              </w:rPr>
              <w:t xml:space="preserve">1</w:t>
            </w:r>
            <w:r/>
          </w:p>
        </w:tc>
        <w:tc>
          <w:tcPr>
            <w:tcBorders>
              <w:left w:val="single" w:color="auto" w:sz="4" w:space="0"/>
              <w:right w:val="single" w:color="auto" w:sz="4" w:space="0"/>
            </w:tcBorders>
            <w:tcW w:w="851" w:type="pct"/>
            <w:vAlign w:val="center"/>
            <w:textDirection w:val="lrTb"/>
            <w:noWrap w:val="false"/>
          </w:tcPr>
          <w:p>
            <w:pPr>
              <w:jc w:val="center"/>
              <w:rPr>
                <w:rFonts w:hint="eastAsia" w:ascii="Times New Roman" w:hAnsi="Times New Roman" w:eastAsia="宋体" w:cs="宋体"/>
                <w:sz w:val="24"/>
                <w:szCs w:val="24"/>
                <w:lang w:val="en-US" w:eastAsia="zh-CN" w:bidi="ar-SA"/>
              </w:rPr>
            </w:pPr>
            <w:r>
              <w:rPr>
                <w:rFonts w:hint="eastAsia" w:ascii="Times New Roman" w:hAnsi="Times New Roman" w:eastAsia="宋体" w:cs="宋体"/>
                <w:sz w:val="24"/>
                <w:szCs w:val="24"/>
                <w:lang w:val="en-US" w:eastAsia="zh-CN" w:bidi="ar-SA"/>
              </w:rPr>
              <w:t xml:space="preserve">套</w:t>
            </w:r>
            <w:r/>
          </w:p>
        </w:tc>
        <w:tc>
          <w:tcPr>
            <w:tcBorders>
              <w:left w:val="single" w:color="auto" w:sz="4" w:space="0"/>
              <w:right w:val="single" w:color="auto" w:sz="4" w:space="0"/>
            </w:tcBorders>
            <w:tcW w:w="1059" w:type="pct"/>
            <w:vAlign w:val="center"/>
            <w:textDirection w:val="lrTb"/>
            <w:noWrap w:val="false"/>
          </w:tcPr>
          <w:p>
            <w:pPr>
              <w:contextualSpacing/>
              <w:jc w:val="center"/>
              <w:spacing w:line="360" w:lineRule="auto"/>
              <w:rPr>
                <w:rFonts w:hint="eastAsia" w:ascii="Times New Roman" w:hAnsi="Times New Roman" w:eastAsia="宋体" w:cs="宋体"/>
                <w:sz w:val="24"/>
                <w:szCs w:val="24"/>
                <w:lang w:val="en-US" w:eastAsia="zh-CN" w:bidi="ar-SA"/>
              </w:rPr>
            </w:pPr>
            <w:r>
              <w:rPr>
                <w:rFonts w:hint="eastAsia" w:ascii="Times New Roman" w:hAnsi="Times New Roman" w:eastAsia="宋体" w:cs="宋体"/>
                <w:sz w:val="24"/>
                <w:szCs w:val="24"/>
                <w:lang w:val="en-US" w:eastAsia="zh-CN" w:bidi="ar-SA"/>
              </w:rPr>
              <w:t xml:space="preserve">工业</w:t>
            </w:r>
            <w:r/>
          </w:p>
        </w:tc>
      </w:tr>
      <w:tr>
        <w:trPr>
          <w:cantSplit/>
          <w:jc w:val="center"/>
          <w:trHeight w:val="107"/>
        </w:trPr>
        <w:tc>
          <w:tcPr>
            <w:tcBorders>
              <w:left w:val="single" w:color="auto" w:sz="4" w:space="0"/>
              <w:right w:val="single" w:color="auto" w:sz="4" w:space="0"/>
            </w:tcBorders>
            <w:tcW w:w="423" w:type="pct"/>
            <w:vAlign w:val="center"/>
            <w:textDirection w:val="lrTb"/>
            <w:noWrap w:val="false"/>
          </w:tcPr>
          <w:p>
            <w:pPr>
              <w:contextualSpacing/>
              <w:jc w:val="center"/>
              <w:spacing w:line="360" w:lineRule="auto"/>
              <w:widowControl/>
              <w:rPr>
                <w:rFonts w:ascii="Times New Roman" w:hAnsi="Times New Roman" w:eastAsia="宋体" w:cs="宋体"/>
                <w:szCs w:val="24"/>
              </w:rPr>
            </w:pPr>
            <w:r>
              <w:rPr>
                <w:rFonts w:hint="eastAsia" w:ascii="Times New Roman" w:hAnsi="Times New Roman" w:eastAsia="宋体" w:cs="宋体"/>
                <w:szCs w:val="24"/>
              </w:rPr>
              <w:t xml:space="preserve">13</w:t>
            </w:r>
            <w:r/>
          </w:p>
        </w:tc>
        <w:tc>
          <w:tcPr>
            <w:tcBorders>
              <w:left w:val="single" w:color="auto" w:sz="4" w:space="0"/>
              <w:right w:val="single" w:color="auto" w:sz="4" w:space="0"/>
            </w:tcBorders>
            <w:tcW w:w="2116" w:type="pct"/>
            <w:vAlign w:val="center"/>
            <w:textDirection w:val="lrTb"/>
            <w:noWrap w:val="false"/>
          </w:tcPr>
          <w:p>
            <w:pPr>
              <w:rPr>
                <w:rFonts w:hint="eastAsia" w:ascii="Times New Roman" w:hAnsi="Times New Roman" w:eastAsia="宋体" w:cs="宋体"/>
                <w:sz w:val="24"/>
                <w:szCs w:val="24"/>
                <w:lang w:val="en-US" w:eastAsia="zh-CN" w:bidi="ar-SA"/>
              </w:rPr>
            </w:pPr>
            <w:r>
              <w:rPr>
                <w:rFonts w:hint="eastAsia" w:ascii="Times New Roman" w:hAnsi="Times New Roman" w:eastAsia="宋体" w:cs="宋体"/>
                <w:sz w:val="24"/>
                <w:szCs w:val="24"/>
                <w:lang w:val="en-US" w:eastAsia="zh-CN" w:bidi="ar-SA"/>
              </w:rPr>
              <w:t xml:space="preserve">水质自动采样设备</w:t>
            </w:r>
            <w:r/>
          </w:p>
        </w:tc>
        <w:tc>
          <w:tcPr>
            <w:tcBorders>
              <w:left w:val="single" w:color="auto" w:sz="4" w:space="0"/>
              <w:right w:val="single" w:color="auto" w:sz="4" w:space="0"/>
            </w:tcBorders>
            <w:tcW w:w="549" w:type="pct"/>
            <w:vAlign w:val="center"/>
            <w:textDirection w:val="lrTb"/>
            <w:noWrap w:val="false"/>
          </w:tcPr>
          <w:p>
            <w:pPr>
              <w:jc w:val="center"/>
              <w:rPr>
                <w:rFonts w:ascii="Times New Roman" w:hAnsi="Times New Roman" w:eastAsia="宋体"/>
                <w:szCs w:val="24"/>
              </w:rPr>
            </w:pPr>
            <w:r>
              <w:rPr>
                <w:rFonts w:hint="eastAsia" w:ascii="Times New Roman" w:hAnsi="Times New Roman" w:eastAsia="宋体"/>
                <w:szCs w:val="24"/>
              </w:rPr>
              <w:t xml:space="preserve">3</w:t>
            </w:r>
            <w:r/>
          </w:p>
        </w:tc>
        <w:tc>
          <w:tcPr>
            <w:tcBorders>
              <w:left w:val="single" w:color="auto" w:sz="4" w:space="0"/>
              <w:right w:val="single" w:color="auto" w:sz="4" w:space="0"/>
            </w:tcBorders>
            <w:tcW w:w="851" w:type="pct"/>
            <w:vAlign w:val="center"/>
            <w:textDirection w:val="lrTb"/>
            <w:noWrap w:val="false"/>
          </w:tcPr>
          <w:p>
            <w:pPr>
              <w:jc w:val="center"/>
              <w:rPr>
                <w:rFonts w:hint="eastAsia" w:ascii="Times New Roman" w:hAnsi="Times New Roman" w:eastAsia="宋体" w:cs="宋体"/>
                <w:sz w:val="24"/>
                <w:szCs w:val="24"/>
                <w:lang w:val="en-US" w:eastAsia="zh-CN" w:bidi="ar-SA"/>
              </w:rPr>
            </w:pPr>
            <w:r>
              <w:rPr>
                <w:rFonts w:hint="eastAsia" w:ascii="Times New Roman" w:hAnsi="Times New Roman" w:eastAsia="宋体" w:cs="宋体"/>
                <w:sz w:val="24"/>
                <w:szCs w:val="24"/>
                <w:lang w:val="en-US" w:eastAsia="zh-CN" w:bidi="ar-SA"/>
              </w:rPr>
              <w:t xml:space="preserve">套</w:t>
            </w:r>
            <w:r/>
          </w:p>
        </w:tc>
        <w:tc>
          <w:tcPr>
            <w:tcBorders>
              <w:left w:val="single" w:color="auto" w:sz="4" w:space="0"/>
              <w:right w:val="single" w:color="auto" w:sz="4" w:space="0"/>
            </w:tcBorders>
            <w:tcW w:w="1059" w:type="pct"/>
            <w:vAlign w:val="center"/>
            <w:textDirection w:val="lrTb"/>
            <w:noWrap w:val="false"/>
          </w:tcPr>
          <w:p>
            <w:pPr>
              <w:contextualSpacing/>
              <w:jc w:val="center"/>
              <w:spacing w:line="360" w:lineRule="auto"/>
              <w:rPr>
                <w:rFonts w:hint="eastAsia" w:ascii="Times New Roman" w:hAnsi="Times New Roman" w:eastAsia="宋体" w:cs="宋体"/>
                <w:sz w:val="24"/>
                <w:szCs w:val="24"/>
                <w:lang w:val="en-US" w:eastAsia="zh-CN" w:bidi="ar-SA"/>
              </w:rPr>
            </w:pPr>
            <w:r>
              <w:rPr>
                <w:rFonts w:hint="eastAsia" w:ascii="Times New Roman" w:hAnsi="Times New Roman" w:eastAsia="宋体" w:cs="宋体"/>
                <w:sz w:val="24"/>
                <w:szCs w:val="24"/>
                <w:lang w:val="en-US" w:eastAsia="zh-CN" w:bidi="ar-SA"/>
              </w:rPr>
              <w:t xml:space="preserve">工业</w:t>
            </w:r>
            <w:r/>
          </w:p>
        </w:tc>
      </w:tr>
      <w:tr>
        <w:trPr>
          <w:cantSplit/>
          <w:jc w:val="center"/>
          <w:trHeight w:val="107"/>
        </w:trPr>
        <w:tc>
          <w:tcPr>
            <w:tcBorders>
              <w:left w:val="single" w:color="auto" w:sz="4" w:space="0"/>
              <w:right w:val="single" w:color="auto" w:sz="4" w:space="0"/>
            </w:tcBorders>
            <w:tcW w:w="423" w:type="pct"/>
            <w:vAlign w:val="center"/>
            <w:textDirection w:val="lrTb"/>
            <w:noWrap w:val="false"/>
          </w:tcPr>
          <w:p>
            <w:pPr>
              <w:contextualSpacing/>
              <w:jc w:val="center"/>
              <w:spacing w:line="360" w:lineRule="auto"/>
              <w:widowControl/>
              <w:rPr>
                <w:rFonts w:ascii="Times New Roman" w:hAnsi="Times New Roman" w:eastAsia="宋体" w:cs="宋体"/>
                <w:szCs w:val="24"/>
              </w:rPr>
            </w:pPr>
            <w:r>
              <w:rPr>
                <w:rFonts w:hint="eastAsia" w:ascii="Times New Roman" w:hAnsi="Times New Roman" w:eastAsia="宋体" w:cs="宋体"/>
                <w:szCs w:val="24"/>
              </w:rPr>
              <w:t xml:space="preserve">14</w:t>
            </w:r>
            <w:r/>
          </w:p>
        </w:tc>
        <w:tc>
          <w:tcPr>
            <w:tcBorders>
              <w:left w:val="single" w:color="auto" w:sz="4" w:space="0"/>
              <w:right w:val="single" w:color="auto" w:sz="4" w:space="0"/>
            </w:tcBorders>
            <w:tcW w:w="2116" w:type="pct"/>
            <w:vAlign w:val="center"/>
            <w:textDirection w:val="lrTb"/>
            <w:noWrap w:val="false"/>
          </w:tcPr>
          <w:p>
            <w:pPr>
              <w:pStyle w:val="973"/>
              <w:rPr>
                <w:rFonts w:ascii="Times New Roman" w:hAnsi="Times New Roman" w:eastAsia="宋体" w:cs="宋体"/>
                <w:sz w:val="24"/>
                <w:szCs w:val="24"/>
              </w:rPr>
            </w:pPr>
            <w:r>
              <w:rPr>
                <w:rFonts w:hint="eastAsia" w:ascii="Times New Roman" w:hAnsi="Times New Roman" w:eastAsia="宋体" w:cs="宋体"/>
                <w:sz w:val="24"/>
                <w:szCs w:val="24"/>
              </w:rPr>
              <w:t xml:space="preserve">紫外可见分光光度计</w:t>
            </w:r>
            <w:r/>
          </w:p>
        </w:tc>
        <w:tc>
          <w:tcPr>
            <w:tcBorders>
              <w:left w:val="single" w:color="auto" w:sz="4" w:space="0"/>
              <w:right w:val="single" w:color="auto" w:sz="4" w:space="0"/>
            </w:tcBorders>
            <w:tcW w:w="549" w:type="pct"/>
            <w:vAlign w:val="center"/>
            <w:textDirection w:val="lrTb"/>
            <w:noWrap w:val="false"/>
          </w:tcPr>
          <w:p>
            <w:pPr>
              <w:jc w:val="center"/>
              <w:rPr>
                <w:rFonts w:ascii="Times New Roman" w:hAnsi="Times New Roman" w:eastAsia="宋体"/>
                <w:szCs w:val="24"/>
              </w:rPr>
            </w:pPr>
            <w:r>
              <w:rPr>
                <w:rFonts w:hint="eastAsia" w:ascii="Times New Roman" w:hAnsi="Times New Roman" w:eastAsia="宋体"/>
                <w:szCs w:val="24"/>
              </w:rPr>
              <w:t xml:space="preserve">1</w:t>
            </w:r>
            <w:r/>
          </w:p>
        </w:tc>
        <w:tc>
          <w:tcPr>
            <w:tcBorders>
              <w:left w:val="single" w:color="auto" w:sz="4" w:space="0"/>
              <w:right w:val="single" w:color="auto" w:sz="4" w:space="0"/>
            </w:tcBorders>
            <w:tcW w:w="851" w:type="pct"/>
            <w:vAlign w:val="center"/>
            <w:textDirection w:val="lrTb"/>
            <w:noWrap w:val="false"/>
          </w:tcPr>
          <w:p>
            <w:pPr>
              <w:jc w:val="center"/>
              <w:rPr>
                <w:rFonts w:hint="eastAsia" w:ascii="Times New Roman" w:hAnsi="Times New Roman" w:eastAsia="宋体" w:cs="宋体"/>
                <w:sz w:val="24"/>
                <w:szCs w:val="24"/>
                <w:lang w:val="en-US" w:eastAsia="zh-CN" w:bidi="ar-SA"/>
              </w:rPr>
            </w:pPr>
            <w:r>
              <w:rPr>
                <w:rFonts w:hint="eastAsia" w:ascii="Times New Roman" w:hAnsi="Times New Roman" w:eastAsia="宋体" w:cs="宋体"/>
                <w:sz w:val="24"/>
                <w:szCs w:val="24"/>
                <w:lang w:val="en-US" w:eastAsia="zh-CN" w:bidi="ar-SA"/>
              </w:rPr>
              <w:t xml:space="preserve">套</w:t>
            </w:r>
            <w:r/>
          </w:p>
        </w:tc>
        <w:tc>
          <w:tcPr>
            <w:tcBorders>
              <w:left w:val="single" w:color="auto" w:sz="4" w:space="0"/>
              <w:right w:val="single" w:color="auto" w:sz="4" w:space="0"/>
            </w:tcBorders>
            <w:tcW w:w="1059" w:type="pct"/>
            <w:vAlign w:val="center"/>
            <w:textDirection w:val="lrTb"/>
            <w:noWrap w:val="false"/>
          </w:tcPr>
          <w:p>
            <w:pPr>
              <w:contextualSpacing/>
              <w:jc w:val="center"/>
              <w:spacing w:line="360" w:lineRule="auto"/>
              <w:rPr>
                <w:rFonts w:hint="eastAsia" w:ascii="Times New Roman" w:hAnsi="Times New Roman" w:eastAsia="宋体" w:cs="宋体"/>
                <w:sz w:val="24"/>
                <w:szCs w:val="24"/>
                <w:lang w:val="en-US" w:eastAsia="zh-CN" w:bidi="ar-SA"/>
              </w:rPr>
            </w:pPr>
            <w:r>
              <w:rPr>
                <w:rFonts w:hint="eastAsia" w:ascii="Times New Roman" w:hAnsi="Times New Roman" w:eastAsia="宋体" w:cs="宋体"/>
                <w:sz w:val="24"/>
                <w:szCs w:val="24"/>
                <w:lang w:val="en-US" w:eastAsia="zh-CN" w:bidi="ar-SA"/>
              </w:rPr>
              <w:t xml:space="preserve">工业</w:t>
            </w:r>
            <w:r/>
          </w:p>
        </w:tc>
      </w:tr>
      <w:tr>
        <w:trPr>
          <w:cantSplit/>
          <w:jc w:val="center"/>
          <w:trHeight w:val="107"/>
        </w:trPr>
        <w:tc>
          <w:tcPr>
            <w:tcBorders>
              <w:left w:val="single" w:color="auto" w:sz="4" w:space="0"/>
              <w:right w:val="single" w:color="auto" w:sz="4" w:space="0"/>
            </w:tcBorders>
            <w:tcW w:w="423" w:type="pct"/>
            <w:vAlign w:val="center"/>
            <w:textDirection w:val="lrTb"/>
            <w:noWrap w:val="false"/>
          </w:tcPr>
          <w:p>
            <w:pPr>
              <w:contextualSpacing/>
              <w:jc w:val="center"/>
              <w:spacing w:line="360" w:lineRule="auto"/>
              <w:widowControl/>
              <w:rPr>
                <w:rFonts w:ascii="Times New Roman" w:hAnsi="Times New Roman" w:eastAsia="宋体" w:cs="宋体"/>
                <w:szCs w:val="24"/>
              </w:rPr>
            </w:pPr>
            <w:r>
              <w:rPr>
                <w:rFonts w:hint="eastAsia" w:ascii="Times New Roman" w:hAnsi="Times New Roman" w:eastAsia="宋体" w:cs="宋体"/>
                <w:szCs w:val="24"/>
              </w:rPr>
              <w:t xml:space="preserve">15</w:t>
            </w:r>
            <w:r/>
          </w:p>
        </w:tc>
        <w:tc>
          <w:tcPr>
            <w:tcBorders>
              <w:left w:val="single" w:color="auto" w:sz="4" w:space="0"/>
              <w:right w:val="single" w:color="auto" w:sz="4" w:space="0"/>
            </w:tcBorders>
            <w:tcW w:w="2116" w:type="pct"/>
            <w:vAlign w:val="center"/>
            <w:textDirection w:val="lrTb"/>
            <w:noWrap w:val="false"/>
          </w:tcPr>
          <w:p>
            <w:pPr>
              <w:pStyle w:val="973"/>
              <w:rPr>
                <w:rFonts w:ascii="Times New Roman" w:hAnsi="Times New Roman" w:eastAsia="宋体" w:cs="宋体"/>
                <w:sz w:val="24"/>
                <w:szCs w:val="24"/>
              </w:rPr>
            </w:pPr>
            <w:r>
              <w:rPr>
                <w:rFonts w:hint="eastAsia" w:ascii="Times New Roman" w:hAnsi="Times New Roman" w:eastAsia="宋体" w:cs="宋体"/>
                <w:sz w:val="24"/>
                <w:szCs w:val="24"/>
              </w:rPr>
              <w:t xml:space="preserve">原子荧光光度计</w:t>
            </w:r>
            <w:r/>
          </w:p>
        </w:tc>
        <w:tc>
          <w:tcPr>
            <w:tcBorders>
              <w:left w:val="single" w:color="auto" w:sz="4" w:space="0"/>
              <w:right w:val="single" w:color="auto" w:sz="4" w:space="0"/>
            </w:tcBorders>
            <w:tcW w:w="549" w:type="pct"/>
            <w:vAlign w:val="center"/>
            <w:textDirection w:val="lrTb"/>
            <w:noWrap w:val="false"/>
          </w:tcPr>
          <w:p>
            <w:pPr>
              <w:jc w:val="center"/>
              <w:rPr>
                <w:rFonts w:ascii="Times New Roman" w:hAnsi="Times New Roman" w:eastAsia="宋体"/>
                <w:szCs w:val="24"/>
              </w:rPr>
            </w:pPr>
            <w:r>
              <w:rPr>
                <w:rFonts w:hint="eastAsia" w:ascii="Times New Roman" w:hAnsi="Times New Roman" w:eastAsia="宋体"/>
                <w:szCs w:val="24"/>
              </w:rPr>
              <w:t xml:space="preserve">1</w:t>
            </w:r>
            <w:r/>
          </w:p>
        </w:tc>
        <w:tc>
          <w:tcPr>
            <w:tcBorders>
              <w:left w:val="single" w:color="auto" w:sz="4" w:space="0"/>
              <w:right w:val="single" w:color="auto" w:sz="4" w:space="0"/>
            </w:tcBorders>
            <w:tcW w:w="851" w:type="pct"/>
            <w:vAlign w:val="center"/>
            <w:textDirection w:val="lrTb"/>
            <w:noWrap w:val="false"/>
          </w:tcPr>
          <w:p>
            <w:pPr>
              <w:jc w:val="center"/>
              <w:rPr>
                <w:rFonts w:hint="eastAsia" w:ascii="Times New Roman" w:hAnsi="Times New Roman" w:eastAsia="宋体" w:cs="宋体"/>
                <w:sz w:val="24"/>
                <w:szCs w:val="24"/>
                <w:lang w:val="en-US" w:eastAsia="zh-CN" w:bidi="ar-SA"/>
              </w:rPr>
            </w:pPr>
            <w:r>
              <w:rPr>
                <w:rFonts w:hint="eastAsia" w:ascii="Times New Roman" w:hAnsi="Times New Roman" w:eastAsia="宋体" w:cs="宋体"/>
                <w:sz w:val="24"/>
                <w:szCs w:val="24"/>
                <w:lang w:val="en-US" w:eastAsia="zh-CN" w:bidi="ar-SA"/>
              </w:rPr>
              <w:t xml:space="preserve">套</w:t>
            </w:r>
            <w:r/>
          </w:p>
        </w:tc>
        <w:tc>
          <w:tcPr>
            <w:tcBorders>
              <w:left w:val="single" w:color="auto" w:sz="4" w:space="0"/>
              <w:right w:val="single" w:color="auto" w:sz="4" w:space="0"/>
            </w:tcBorders>
            <w:tcW w:w="1059" w:type="pct"/>
            <w:vAlign w:val="center"/>
            <w:textDirection w:val="lrTb"/>
            <w:noWrap w:val="false"/>
          </w:tcPr>
          <w:p>
            <w:pPr>
              <w:contextualSpacing/>
              <w:jc w:val="center"/>
              <w:spacing w:line="360" w:lineRule="auto"/>
              <w:rPr>
                <w:rFonts w:hint="eastAsia" w:ascii="Times New Roman" w:hAnsi="Times New Roman" w:eastAsia="宋体" w:cs="宋体"/>
                <w:sz w:val="24"/>
                <w:szCs w:val="24"/>
                <w:lang w:val="en-US" w:eastAsia="zh-CN" w:bidi="ar-SA"/>
              </w:rPr>
            </w:pPr>
            <w:r>
              <w:rPr>
                <w:rFonts w:hint="eastAsia" w:ascii="Times New Roman" w:hAnsi="Times New Roman" w:eastAsia="宋体" w:cs="宋体"/>
                <w:sz w:val="24"/>
                <w:szCs w:val="24"/>
                <w:lang w:val="en-US" w:eastAsia="zh-CN" w:bidi="ar-SA"/>
              </w:rPr>
              <w:t xml:space="preserve">工业</w:t>
            </w:r>
            <w:r/>
          </w:p>
        </w:tc>
      </w:tr>
      <w:tr>
        <w:trPr>
          <w:cantSplit/>
          <w:jc w:val="center"/>
          <w:trHeight w:val="107"/>
        </w:trPr>
        <w:tc>
          <w:tcPr>
            <w:tcBorders>
              <w:left w:val="single" w:color="auto" w:sz="4" w:space="0"/>
              <w:right w:val="single" w:color="auto" w:sz="4" w:space="0"/>
            </w:tcBorders>
            <w:tcW w:w="423" w:type="pct"/>
            <w:vAlign w:val="center"/>
            <w:textDirection w:val="lrTb"/>
            <w:noWrap w:val="false"/>
          </w:tcPr>
          <w:p>
            <w:pPr>
              <w:contextualSpacing/>
              <w:jc w:val="center"/>
              <w:spacing w:line="360" w:lineRule="auto"/>
              <w:widowControl/>
              <w:rPr>
                <w:rFonts w:ascii="Times New Roman" w:hAnsi="Times New Roman" w:eastAsia="宋体" w:cs="宋体"/>
                <w:szCs w:val="24"/>
                <w:highlight w:val="none"/>
              </w:rPr>
            </w:pPr>
            <w:r>
              <w:rPr>
                <w:rFonts w:hint="eastAsia" w:ascii="Times New Roman" w:hAnsi="Times New Roman" w:eastAsia="宋体" w:cs="宋体"/>
                <w:szCs w:val="24"/>
                <w:highlight w:val="none"/>
              </w:rPr>
              <w:t xml:space="preserve">16</w:t>
            </w:r>
            <w:r/>
          </w:p>
        </w:tc>
        <w:tc>
          <w:tcPr>
            <w:tcBorders>
              <w:left w:val="single" w:color="auto" w:sz="4" w:space="0"/>
              <w:right w:val="single" w:color="auto" w:sz="4" w:space="0"/>
            </w:tcBorders>
            <w:tcW w:w="2116" w:type="pct"/>
            <w:vAlign w:val="center"/>
            <w:textDirection w:val="lrTb"/>
            <w:noWrap w:val="false"/>
          </w:tcPr>
          <w:p>
            <w:pPr>
              <w:pStyle w:val="973"/>
              <w:rPr>
                <w:rFonts w:ascii="Times New Roman" w:hAnsi="Times New Roman" w:eastAsia="宋体" w:cs="宋体"/>
                <w:sz w:val="24"/>
                <w:szCs w:val="24"/>
                <w:highlight w:val="none"/>
              </w:rPr>
            </w:pPr>
            <w:r>
              <w:rPr>
                <w:rFonts w:hint="eastAsia" w:ascii="Times New Roman" w:hAnsi="Times New Roman" w:eastAsia="宋体" w:cs="宋体"/>
                <w:sz w:val="24"/>
                <w:szCs w:val="24"/>
                <w:highlight w:val="none"/>
              </w:rPr>
              <w:t xml:space="preserve">便携式藻密度测定仪</w:t>
            </w:r>
            <w:r/>
          </w:p>
        </w:tc>
        <w:tc>
          <w:tcPr>
            <w:tcBorders>
              <w:left w:val="single" w:color="auto" w:sz="4" w:space="0"/>
              <w:right w:val="single" w:color="auto" w:sz="4" w:space="0"/>
            </w:tcBorders>
            <w:tcW w:w="549" w:type="pct"/>
            <w:vAlign w:val="center"/>
            <w:textDirection w:val="lrTb"/>
            <w:noWrap w:val="false"/>
          </w:tcPr>
          <w:p>
            <w:pPr>
              <w:jc w:val="center"/>
              <w:rPr>
                <w:rFonts w:ascii="Times New Roman" w:hAnsi="Times New Roman" w:eastAsia="宋体"/>
                <w:szCs w:val="24"/>
              </w:rPr>
            </w:pPr>
            <w:r>
              <w:rPr>
                <w:rFonts w:hint="eastAsia" w:ascii="Times New Roman" w:hAnsi="Times New Roman" w:eastAsia="宋体"/>
                <w:szCs w:val="24"/>
              </w:rPr>
              <w:t xml:space="preserve">1</w:t>
            </w:r>
            <w:r/>
          </w:p>
        </w:tc>
        <w:tc>
          <w:tcPr>
            <w:tcBorders>
              <w:left w:val="single" w:color="auto" w:sz="4" w:space="0"/>
              <w:right w:val="single" w:color="auto" w:sz="4" w:space="0"/>
            </w:tcBorders>
            <w:tcW w:w="851" w:type="pct"/>
            <w:vAlign w:val="center"/>
            <w:textDirection w:val="lrTb"/>
            <w:noWrap w:val="false"/>
          </w:tcPr>
          <w:p>
            <w:pPr>
              <w:jc w:val="center"/>
              <w:rPr>
                <w:rFonts w:hint="eastAsia" w:ascii="Times New Roman" w:hAnsi="Times New Roman" w:eastAsia="宋体" w:cs="宋体"/>
                <w:sz w:val="24"/>
                <w:szCs w:val="24"/>
                <w:lang w:val="en-US" w:eastAsia="zh-CN" w:bidi="ar-SA"/>
              </w:rPr>
            </w:pPr>
            <w:r>
              <w:rPr>
                <w:rFonts w:hint="eastAsia" w:ascii="Times New Roman" w:hAnsi="Times New Roman" w:eastAsia="宋体" w:cs="宋体"/>
                <w:sz w:val="24"/>
                <w:szCs w:val="24"/>
                <w:lang w:val="en-US" w:eastAsia="zh-CN" w:bidi="ar-SA"/>
              </w:rPr>
              <w:t xml:space="preserve">套</w:t>
            </w:r>
            <w:r/>
          </w:p>
        </w:tc>
        <w:tc>
          <w:tcPr>
            <w:tcBorders>
              <w:left w:val="single" w:color="auto" w:sz="4" w:space="0"/>
              <w:right w:val="single" w:color="auto" w:sz="4" w:space="0"/>
            </w:tcBorders>
            <w:tcW w:w="1059" w:type="pct"/>
            <w:vAlign w:val="center"/>
            <w:textDirection w:val="lrTb"/>
            <w:noWrap w:val="false"/>
          </w:tcPr>
          <w:p>
            <w:pPr>
              <w:contextualSpacing/>
              <w:jc w:val="center"/>
              <w:spacing w:line="360" w:lineRule="auto"/>
              <w:rPr>
                <w:rFonts w:hint="eastAsia" w:ascii="Times New Roman" w:hAnsi="Times New Roman" w:eastAsia="宋体" w:cs="宋体"/>
                <w:sz w:val="24"/>
                <w:szCs w:val="24"/>
                <w:lang w:val="en-US" w:eastAsia="zh-CN" w:bidi="ar-SA"/>
              </w:rPr>
            </w:pPr>
            <w:r>
              <w:rPr>
                <w:rFonts w:hint="eastAsia" w:ascii="Times New Roman" w:hAnsi="Times New Roman" w:eastAsia="宋体" w:cs="宋体"/>
                <w:sz w:val="24"/>
                <w:szCs w:val="24"/>
                <w:lang w:val="en-US" w:eastAsia="zh-CN" w:bidi="ar-SA"/>
              </w:rPr>
              <w:t xml:space="preserve">工业</w:t>
            </w:r>
            <w:r/>
          </w:p>
        </w:tc>
      </w:tr>
      <w:tr>
        <w:trPr>
          <w:cantSplit/>
          <w:jc w:val="center"/>
          <w:trHeight w:val="107"/>
        </w:trPr>
        <w:tc>
          <w:tcPr>
            <w:tcBorders>
              <w:left w:val="single" w:color="auto" w:sz="4" w:space="0"/>
              <w:right w:val="single" w:color="auto" w:sz="4" w:space="0"/>
            </w:tcBorders>
            <w:tcW w:w="423" w:type="pct"/>
            <w:vAlign w:val="center"/>
            <w:textDirection w:val="lrTb"/>
            <w:noWrap w:val="false"/>
          </w:tcPr>
          <w:p>
            <w:pPr>
              <w:contextualSpacing/>
              <w:jc w:val="center"/>
              <w:spacing w:line="360" w:lineRule="auto"/>
              <w:widowControl/>
              <w:rPr>
                <w:rFonts w:ascii="Times New Roman" w:hAnsi="Times New Roman" w:eastAsia="宋体" w:cs="宋体"/>
                <w:szCs w:val="24"/>
                <w:highlight w:val="none"/>
              </w:rPr>
            </w:pPr>
            <w:r>
              <w:rPr>
                <w:rFonts w:hint="eastAsia" w:ascii="Times New Roman" w:hAnsi="Times New Roman" w:eastAsia="宋体" w:cs="宋体"/>
                <w:szCs w:val="24"/>
                <w:highlight w:val="none"/>
              </w:rPr>
              <w:t xml:space="preserve">17</w:t>
            </w:r>
            <w:r/>
          </w:p>
        </w:tc>
        <w:tc>
          <w:tcPr>
            <w:tcBorders>
              <w:left w:val="single" w:color="auto" w:sz="4" w:space="0"/>
              <w:right w:val="single" w:color="auto" w:sz="4" w:space="0"/>
            </w:tcBorders>
            <w:tcW w:w="2116" w:type="pct"/>
            <w:vAlign w:val="center"/>
            <w:textDirection w:val="lrTb"/>
            <w:noWrap w:val="false"/>
          </w:tcPr>
          <w:p>
            <w:pPr>
              <w:pStyle w:val="973"/>
              <w:rPr>
                <w:rFonts w:ascii="Times New Roman" w:hAnsi="Times New Roman" w:eastAsia="宋体" w:cs="宋体"/>
                <w:sz w:val="24"/>
                <w:szCs w:val="24"/>
                <w:highlight w:val="none"/>
              </w:rPr>
            </w:pPr>
            <w:r>
              <w:rPr>
                <w:rFonts w:hint="eastAsia" w:ascii="Times New Roman" w:hAnsi="Times New Roman" w:eastAsia="宋体" w:cs="宋体"/>
                <w:sz w:val="24"/>
                <w:szCs w:val="24"/>
                <w:highlight w:val="none"/>
              </w:rPr>
              <w:t xml:space="preserve">三合一自动进样器</w:t>
            </w:r>
            <w:r/>
          </w:p>
        </w:tc>
        <w:tc>
          <w:tcPr>
            <w:tcBorders>
              <w:left w:val="single" w:color="auto" w:sz="4" w:space="0"/>
              <w:right w:val="single" w:color="auto" w:sz="4" w:space="0"/>
            </w:tcBorders>
            <w:tcW w:w="549" w:type="pct"/>
            <w:vAlign w:val="center"/>
            <w:textDirection w:val="lrTb"/>
            <w:noWrap w:val="false"/>
          </w:tcPr>
          <w:p>
            <w:pPr>
              <w:jc w:val="center"/>
              <w:rPr>
                <w:rFonts w:ascii="Times New Roman" w:hAnsi="Times New Roman" w:eastAsia="宋体"/>
                <w:szCs w:val="24"/>
              </w:rPr>
            </w:pPr>
            <w:r>
              <w:rPr>
                <w:rFonts w:hint="eastAsia" w:ascii="Times New Roman" w:hAnsi="Times New Roman" w:eastAsia="宋体"/>
                <w:szCs w:val="24"/>
              </w:rPr>
              <w:t xml:space="preserve">1</w:t>
            </w:r>
            <w:r/>
          </w:p>
        </w:tc>
        <w:tc>
          <w:tcPr>
            <w:tcBorders>
              <w:left w:val="single" w:color="auto" w:sz="4" w:space="0"/>
              <w:right w:val="single" w:color="auto" w:sz="4" w:space="0"/>
            </w:tcBorders>
            <w:tcW w:w="851" w:type="pct"/>
            <w:vAlign w:val="center"/>
            <w:textDirection w:val="lrTb"/>
            <w:noWrap w:val="false"/>
          </w:tcPr>
          <w:p>
            <w:pPr>
              <w:jc w:val="center"/>
              <w:rPr>
                <w:rFonts w:hint="eastAsia" w:ascii="Times New Roman" w:hAnsi="Times New Roman" w:eastAsia="宋体" w:cs="宋体"/>
                <w:sz w:val="24"/>
                <w:szCs w:val="24"/>
                <w:lang w:val="en-US" w:eastAsia="zh-CN" w:bidi="ar-SA"/>
              </w:rPr>
            </w:pPr>
            <w:r>
              <w:rPr>
                <w:rFonts w:hint="eastAsia" w:ascii="Times New Roman" w:hAnsi="Times New Roman" w:eastAsia="宋体" w:cs="宋体"/>
                <w:sz w:val="24"/>
                <w:szCs w:val="24"/>
                <w:lang w:val="en-US" w:eastAsia="zh-CN" w:bidi="ar-SA"/>
              </w:rPr>
              <w:t xml:space="preserve">套</w:t>
            </w:r>
            <w:r/>
          </w:p>
        </w:tc>
        <w:tc>
          <w:tcPr>
            <w:tcBorders>
              <w:left w:val="single" w:color="auto" w:sz="4" w:space="0"/>
              <w:right w:val="single" w:color="auto" w:sz="4" w:space="0"/>
            </w:tcBorders>
            <w:tcW w:w="1059" w:type="pct"/>
            <w:vAlign w:val="center"/>
            <w:textDirection w:val="lrTb"/>
            <w:noWrap w:val="false"/>
          </w:tcPr>
          <w:p>
            <w:pPr>
              <w:contextualSpacing/>
              <w:jc w:val="center"/>
              <w:spacing w:line="360" w:lineRule="auto"/>
              <w:rPr>
                <w:rFonts w:hint="eastAsia" w:ascii="Times New Roman" w:hAnsi="Times New Roman" w:eastAsia="宋体" w:cs="宋体"/>
                <w:sz w:val="24"/>
                <w:szCs w:val="24"/>
                <w:lang w:val="en-US" w:eastAsia="zh-CN" w:bidi="ar-SA"/>
              </w:rPr>
            </w:pPr>
            <w:r>
              <w:rPr>
                <w:rFonts w:hint="eastAsia" w:ascii="Times New Roman" w:hAnsi="Times New Roman" w:eastAsia="宋体" w:cs="宋体"/>
                <w:sz w:val="24"/>
                <w:szCs w:val="24"/>
                <w:lang w:val="en-US" w:eastAsia="zh-CN" w:bidi="ar-SA"/>
              </w:rPr>
              <w:t xml:space="preserve">工业</w:t>
            </w:r>
            <w:r/>
          </w:p>
        </w:tc>
      </w:tr>
    </w:tbl>
    <w:p>
      <w:pPr>
        <w:spacing w:line="360" w:lineRule="auto"/>
        <w:rPr>
          <w:rFonts w:ascii="Times New Roman" w:hAnsi="Times New Roman" w:cs="Times New Roman"/>
          <w:b/>
          <w:bCs/>
          <w:sz w:val="24"/>
          <w:szCs w:val="24"/>
        </w:rPr>
      </w:pPr>
      <w:r>
        <w:rPr>
          <w:rFonts w:ascii="Times New Roman" w:hAnsi="Times New Roman" w:cs="Times New Roman"/>
          <w:b/>
          <w:bCs/>
          <w:sz w:val="24"/>
          <w:szCs w:val="24"/>
        </w:rPr>
      </w:r>
      <w:r/>
    </w:p>
    <w:p>
      <w:pPr>
        <w:jc w:val="left"/>
        <w:spacing w:line="360" w:lineRule="auto"/>
        <w:rPr>
          <w:rFonts w:ascii="Times New Roman" w:hAnsi="Times New Roman" w:cs="Times New Roman"/>
          <w:b/>
          <w:sz w:val="28"/>
          <w:szCs w:val="28"/>
        </w:rPr>
        <w:outlineLvl w:val="1"/>
      </w:pPr>
      <w:r>
        <w:rPr>
          <w:rFonts w:hint="eastAsia" w:ascii="Times New Roman" w:hAnsi="Times New Roman" w:cs="Times New Roman"/>
          <w:b/>
          <w:sz w:val="28"/>
          <w:szCs w:val="28"/>
          <w:lang w:val="en-US" w:eastAsia="zh-CN"/>
        </w:rPr>
        <w:t xml:space="preserve">三</w:t>
      </w:r>
      <w:r>
        <w:rPr>
          <w:rFonts w:hint="eastAsia" w:ascii="Times New Roman" w:hAnsi="Times New Roman" w:cs="Times New Roman"/>
          <w:b/>
          <w:sz w:val="28"/>
          <w:szCs w:val="28"/>
        </w:rPr>
        <w:t xml:space="preserve">、</w:t>
      </w:r>
      <w:r>
        <w:rPr>
          <w:rFonts w:ascii="Times New Roman" w:hAnsi="Times New Roman" w:cs="Times New Roman"/>
          <w:b/>
          <w:sz w:val="28"/>
          <w:szCs w:val="28"/>
        </w:rPr>
        <w:t xml:space="preserve">货物（标的）技术参数及功能指标</w:t>
      </w:r>
      <w:r/>
    </w:p>
    <w:p>
      <w:pPr>
        <w:ind w:left="0" w:firstLine="422"/>
        <w:spacing w:line="360" w:lineRule="auto"/>
        <w:rPr>
          <w:rFonts w:ascii="宋体" w:hAnsi="宋体" w:eastAsia="宋体" w:cs="宋体"/>
          <w:b/>
          <w:bCs/>
          <w:sz w:val="24"/>
          <w:szCs w:val="24"/>
        </w:rPr>
        <w:outlineLvl w:val="0"/>
      </w:pPr>
      <w:r>
        <w:rPr>
          <w:rFonts w:hint="eastAsia" w:ascii="宋体" w:hAnsi="宋体" w:eastAsia="宋体" w:cs="宋体"/>
          <w:b/>
          <w:bCs/>
          <w:sz w:val="24"/>
          <w:szCs w:val="24"/>
        </w:rPr>
        <w:t xml:space="preserve">1.项目总体要求</w:t>
      </w:r>
      <w:r/>
    </w:p>
    <w:p>
      <w:pPr>
        <w:pStyle w:val="974"/>
        <w:ind w:left="0" w:firstLine="420"/>
        <w:jc w:val="both"/>
        <w:pageBreakBefore w:val="0"/>
        <w:spacing w:line="360" w:lineRule="auto"/>
        <w:widowControl w:val="off"/>
        <w:rPr>
          <w:rFonts w:hint="eastAsia" w:ascii="Calibri" w:hAnsi="Times New Roman" w:eastAsia="宋体" w:cs="Times New Roman"/>
          <w:bCs/>
          <w:iCs w:val="0"/>
          <w:sz w:val="24"/>
          <w:szCs w:val="22"/>
          <w:lang w:val="en-US" w:eastAsia="zh-CN" w:bidi="ar-SA"/>
        </w:rPr>
      </w:pPr>
      <w:r>
        <w:rPr>
          <w:rFonts w:hint="eastAsia" w:ascii="Calibri" w:hAnsi="Times New Roman" w:eastAsia="宋体" w:cs="Times New Roman"/>
          <w:bCs/>
          <w:iCs w:val="0"/>
          <w:sz w:val="24"/>
          <w:szCs w:val="22"/>
          <w:lang w:val="en-US" w:eastAsia="zh-CN" w:bidi="ar-SA"/>
        </w:rPr>
        <w:t xml:space="preserve">1.1.投标人应整合完全满足实验室分析要求的全自动分析仪器，打造“黑灯”实验室，实现常规水质监测项目的全自动无人智能分析，避免人为干扰、提高分析自动化水平和能力，实现《地表水环境质量标准》（GB 3838-2002）中高锰酸盐指数、化学需氧量（COD）、氨氮、总磷、总氮、六价铬、汞、氰化物、挥发酚、阴离子表面活性剂、硫化物、</w:t>
      </w:r>
      <w:bookmarkStart w:id="9" w:name="OLE_LINK3"/>
      <w:r>
        <w:rPr>
          <w:rFonts w:hint="eastAsia" w:ascii="Calibri" w:hAnsi="Times New Roman" w:eastAsia="宋体" w:cs="Times New Roman"/>
          <w:bCs/>
          <w:iCs w:val="0"/>
          <w:sz w:val="24"/>
          <w:szCs w:val="22"/>
          <w:lang w:val="en-US" w:eastAsia="zh-CN" w:bidi="ar-SA"/>
        </w:rPr>
        <w:t xml:space="preserve">氟化物、硫酸盐、氯化物、硝酸盐</w:t>
      </w:r>
      <w:bookmarkEnd w:id="9"/>
      <w:r>
        <w:rPr>
          <w:rFonts w:hint="eastAsia" w:ascii="Calibri" w:hAnsi="Times New Roman" w:eastAsia="宋体" w:cs="Times New Roman"/>
          <w:bCs/>
          <w:iCs w:val="0"/>
          <w:sz w:val="24"/>
          <w:szCs w:val="22"/>
          <w:lang w:val="en-US" w:eastAsia="zh-CN" w:bidi="ar-SA"/>
        </w:rPr>
        <w:t xml:space="preserve">、石油类16项参数检测的全自动化、无人化分析，达到以期大幅度提升水质分析实验室的检测效率、并提高分析数据质量的目的。</w:t>
      </w:r>
      <w:r/>
    </w:p>
    <w:p>
      <w:pPr>
        <w:pStyle w:val="974"/>
        <w:ind w:left="0" w:firstLine="420"/>
        <w:jc w:val="both"/>
        <w:pageBreakBefore w:val="0"/>
        <w:spacing w:line="360" w:lineRule="auto"/>
        <w:widowControl w:val="off"/>
        <w:rPr>
          <w:rFonts w:hint="eastAsia" w:ascii="Calibri" w:hAnsi="Times New Roman" w:eastAsia="宋体" w:cs="Times New Roman"/>
          <w:bCs/>
          <w:iCs w:val="0"/>
          <w:sz w:val="24"/>
          <w:szCs w:val="22"/>
          <w:lang w:val="en-US" w:eastAsia="zh-CN" w:bidi="ar-SA"/>
        </w:rPr>
      </w:pPr>
      <w:r>
        <w:rPr>
          <w:rFonts w:hint="eastAsia" w:ascii="Calibri" w:hAnsi="Times New Roman" w:eastAsia="宋体" w:cs="Times New Roman"/>
          <w:bCs/>
          <w:iCs w:val="0"/>
          <w:sz w:val="24"/>
          <w:szCs w:val="22"/>
          <w:lang w:val="en-US" w:eastAsia="zh-CN" w:bidi="ar-SA"/>
        </w:rPr>
        <w:t xml:space="preserve">1.2.“黑灯”实验室系统主要建设目标如下：</w:t>
      </w:r>
      <w:r/>
    </w:p>
    <w:p>
      <w:pPr>
        <w:pStyle w:val="974"/>
        <w:ind w:left="0" w:firstLine="420"/>
        <w:jc w:val="both"/>
        <w:pageBreakBefore w:val="0"/>
        <w:spacing w:line="360" w:lineRule="auto"/>
        <w:widowControl w:val="off"/>
        <w:rPr>
          <w:rFonts w:hint="eastAsia" w:ascii="Calibri" w:hAnsi="Times New Roman" w:eastAsia="宋体" w:cs="Times New Roman"/>
          <w:bCs/>
          <w:iCs w:val="0"/>
          <w:sz w:val="24"/>
          <w:szCs w:val="22"/>
          <w:lang w:val="en-US" w:eastAsia="zh-CN" w:bidi="ar-SA"/>
        </w:rPr>
      </w:pPr>
      <w:r>
        <w:rPr>
          <w:rFonts w:hint="eastAsia" w:ascii="Calibri" w:hAnsi="Times New Roman" w:eastAsia="宋体" w:cs="Times New Roman"/>
          <w:bCs/>
          <w:iCs w:val="0"/>
          <w:sz w:val="24"/>
          <w:szCs w:val="22"/>
          <w:lang w:val="en-US" w:eastAsia="zh-CN" w:bidi="ar-SA"/>
        </w:rPr>
        <w:t xml:space="preserve">1.2.1.水质分析过程全自动化：包含样品信息输入、样品瓶扫码及分拣、样品自动分取、样品传输、样品自动预处理、样品分析、质控等全流程自动化，构建无人化、全自动水质智能分析实验室。</w:t>
      </w:r>
      <w:r/>
    </w:p>
    <w:p>
      <w:pPr>
        <w:pStyle w:val="974"/>
        <w:ind w:left="0" w:firstLine="420"/>
        <w:jc w:val="both"/>
        <w:pageBreakBefore w:val="0"/>
        <w:spacing w:line="360" w:lineRule="auto"/>
        <w:widowControl w:val="off"/>
        <w:rPr>
          <w:rFonts w:hint="eastAsia" w:ascii="Calibri" w:hAnsi="Times New Roman" w:eastAsia="宋体" w:cs="Times New Roman"/>
          <w:bCs/>
          <w:iCs w:val="0"/>
          <w:sz w:val="24"/>
          <w:szCs w:val="22"/>
          <w:lang w:val="en-US" w:eastAsia="zh-CN" w:bidi="ar-SA"/>
        </w:rPr>
      </w:pPr>
      <w:r>
        <w:rPr>
          <w:rFonts w:hint="eastAsia" w:ascii="Calibri" w:hAnsi="Times New Roman" w:eastAsia="宋体" w:cs="Times New Roman"/>
          <w:bCs/>
          <w:iCs w:val="0"/>
          <w:sz w:val="24"/>
          <w:szCs w:val="22"/>
          <w:lang w:val="en-US" w:eastAsia="zh-CN" w:bidi="ar-SA"/>
        </w:rPr>
        <w:t xml:space="preserve">1.2.2.构建高通量水质智能分析实验室：通过机器代替人工、复杂工序多位并行处理、24小时持续运行等方式，</w:t>
      </w:r>
      <w:bookmarkStart w:id="10" w:name="OLE_LINK4"/>
      <w:r>
        <w:rPr>
          <w:rFonts w:hint="eastAsia" w:ascii="Calibri" w:hAnsi="Times New Roman" w:eastAsia="宋体" w:cs="Times New Roman"/>
          <w:bCs/>
          <w:iCs w:val="0"/>
          <w:sz w:val="24"/>
          <w:szCs w:val="22"/>
          <w:lang w:val="en-US" w:eastAsia="zh-CN" w:bidi="ar-SA"/>
        </w:rPr>
        <w:t xml:space="preserve">“黑灯”实验室分析系统满足高峰时期的样品检测需求。</w:t>
      </w:r>
      <w:bookmarkEnd w:id="10"/>
      <w:r/>
      <w:r/>
    </w:p>
    <w:p>
      <w:pPr>
        <w:pStyle w:val="974"/>
        <w:ind w:left="0" w:firstLine="416"/>
        <w:jc w:val="both"/>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spacing w:val="-1"/>
          <w:sz w:val="24"/>
          <w:szCs w:val="24"/>
        </w:rPr>
        <w:t xml:space="preserve">▲1.3.</w:t>
      </w:r>
      <w:r>
        <w:rPr>
          <w:rFonts w:hint="eastAsia" w:ascii="宋体" w:hAnsi="宋体" w:eastAsia="宋体" w:cs="宋体"/>
          <w:sz w:val="24"/>
          <w:szCs w:val="24"/>
        </w:rPr>
        <w:t xml:space="preserve">“黑灯”实验室所采用的分析方法原理应符合国标或行业标准要求，不接受水质在线检测设备及方法用于本项目。</w:t>
      </w:r>
      <w:r>
        <w:rPr>
          <w:rFonts w:hint="eastAsia" w:ascii="宋体" w:hAnsi="宋体" w:eastAsia="宋体" w:cs="宋体"/>
          <w:b/>
          <w:bCs/>
          <w:sz w:val="24"/>
          <w:szCs w:val="24"/>
        </w:rPr>
        <w:t xml:space="preserve">（提供流程说明，并包含与国标或行业标准流程的比对表、关键结构实物图、关键软件截图并加盖投标人公章）</w:t>
      </w:r>
      <w:r/>
    </w:p>
    <w:p>
      <w:pPr>
        <w:pStyle w:val="974"/>
        <w:ind w:left="0" w:firstLine="416"/>
        <w:jc w:val="both"/>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spacing w:val="-1"/>
          <w:sz w:val="24"/>
          <w:szCs w:val="24"/>
        </w:rPr>
        <w:t xml:space="preserve">▲1.4.</w:t>
      </w:r>
      <w:r>
        <w:rPr>
          <w:rFonts w:hint="eastAsia" w:ascii="宋体" w:hAnsi="宋体" w:eastAsia="宋体" w:cs="宋体"/>
          <w:sz w:val="24"/>
          <w:szCs w:val="24"/>
        </w:rPr>
        <w:t xml:space="preserve">样品采样容器使用1000mL、500mL、250mL玻璃及1000mL、500mL、250mL共6种硬质塑料标准样品瓶，三种样品瓶采样后应满足同批次直接进入系统分样、无需二次更换样品瓶的需求。</w:t>
      </w:r>
      <w:r>
        <w:rPr>
          <w:rFonts w:hint="eastAsia" w:ascii="宋体" w:hAnsi="宋体" w:eastAsia="宋体" w:cs="宋体"/>
          <w:b/>
          <w:bCs/>
          <w:sz w:val="24"/>
          <w:szCs w:val="24"/>
        </w:rPr>
        <w:t xml:space="preserve">（提供第三方检测机构出具给制造厂商的检测报告复印件和不同采用容器软件选择截图并加盖投标人公章）</w:t>
      </w:r>
      <w:r/>
    </w:p>
    <w:p>
      <w:pPr>
        <w:pStyle w:val="974"/>
        <w:ind w:left="0" w:firstLine="420"/>
        <w:jc w:val="both"/>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1.5.“黑灯”实验室系统应具备状态自检、故障报警、故障隔离功能，单台设备的故障不应导致系统整体停止运行，应能满足检修过程中的生产、质量、安全管理需要。</w:t>
      </w:r>
      <w:r/>
    </w:p>
    <w:p>
      <w:pPr>
        <w:pStyle w:val="974"/>
        <w:ind w:left="0" w:firstLine="420"/>
        <w:jc w:val="both"/>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1.6.“黑灯”实验室</w:t>
      </w:r>
      <w:r>
        <w:rPr>
          <w:rFonts w:hint="eastAsia" w:ascii="宋体" w:hAnsi="宋体" w:eastAsia="宋体" w:cs="宋体"/>
          <w:spacing w:val="-1"/>
          <w:sz w:val="24"/>
          <w:szCs w:val="24"/>
        </w:rPr>
        <w:t xml:space="preserve">应配有用于实时观测设备运行情况的摄像头，并能够接入管控平台。</w:t>
      </w:r>
      <w:r/>
    </w:p>
    <w:p>
      <w:pPr>
        <w:pStyle w:val="974"/>
        <w:ind w:left="0" w:firstLine="420"/>
        <w:jc w:val="both"/>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1.7.“黑灯”实验室系统应设计有赋码和标签识别系统，配置标签生成设备，所使用的标签应同时满足人工识别和机器识别要求。</w:t>
      </w:r>
      <w:r/>
    </w:p>
    <w:p>
      <w:pPr>
        <w:pStyle w:val="974"/>
        <w:ind w:left="0" w:firstLine="416"/>
        <w:jc w:val="both"/>
        <w:pageBreakBefore w:val="0"/>
        <w:spacing w:line="360" w:lineRule="auto"/>
        <w:widowControl w:val="off"/>
        <w:rPr>
          <w:rFonts w:hint="eastAsia" w:ascii="宋体" w:hAnsi="宋体" w:eastAsia="宋体" w:cs="宋体"/>
          <w:b/>
          <w:bCs/>
          <w:spacing w:val="-1"/>
          <w:sz w:val="24"/>
          <w:szCs w:val="24"/>
        </w:rPr>
      </w:pPr>
      <w:r>
        <w:rPr>
          <w:rFonts w:hint="eastAsia" w:ascii="宋体" w:hAnsi="宋体" w:eastAsia="宋体" w:cs="宋体"/>
          <w:spacing w:val="-1"/>
          <w:sz w:val="24"/>
          <w:szCs w:val="24"/>
        </w:rPr>
        <w:t xml:space="preserve">▲1.8.接入系统的全自动分析仪器具备独立工作站功能，既满足系统联用，又满足单独进样使用，接入系统的全自动分析仪器应配置独立的数据处理终端、独立的自动进样器或样品盘（样品位≥20位）。</w:t>
      </w:r>
      <w:r>
        <w:rPr>
          <w:rFonts w:hint="eastAsia" w:ascii="宋体" w:hAnsi="宋体" w:eastAsia="宋体" w:cs="宋体"/>
          <w:b/>
          <w:bCs/>
          <w:spacing w:val="-1"/>
          <w:sz w:val="24"/>
          <w:szCs w:val="24"/>
        </w:rPr>
        <w:t xml:space="preserve">（提供各全自动水质分析仪器整机安装于水质“黑灯”实验室的清晰实物图，并标注各仪器自动进样器位数或样品盘位数</w:t>
      </w:r>
      <w:r>
        <w:rPr>
          <w:rFonts w:hint="eastAsia" w:ascii="宋体" w:hAnsi="宋体" w:eastAsia="宋体" w:cs="宋体"/>
          <w:b/>
          <w:bCs/>
          <w:sz w:val="24"/>
          <w:szCs w:val="24"/>
        </w:rPr>
        <w:t xml:space="preserve">并加盖投标人公章</w:t>
      </w:r>
      <w:r>
        <w:rPr>
          <w:rFonts w:hint="eastAsia" w:ascii="宋体" w:hAnsi="宋体" w:eastAsia="宋体" w:cs="宋体"/>
          <w:b/>
          <w:bCs/>
          <w:spacing w:val="-1"/>
          <w:sz w:val="24"/>
          <w:szCs w:val="24"/>
        </w:rPr>
        <w:t xml:space="preserve">）</w:t>
      </w:r>
      <w:r/>
    </w:p>
    <w:p>
      <w:pPr>
        <w:pStyle w:val="966"/>
        <w:rPr>
          <w:b/>
          <w:bCs/>
        </w:rPr>
      </w:pPr>
      <w:r>
        <w:rPr>
          <w:rFonts w:hint="eastAsia"/>
          <w:b/>
          <w:bCs/>
        </w:rPr>
        <w:t xml:space="preserve">2.参数要求</w:t>
      </w:r>
      <w:r/>
    </w:p>
    <w:p>
      <w:pPr>
        <w:pStyle w:val="966"/>
        <w:rPr>
          <w:b/>
          <w:bCs/>
        </w:rPr>
      </w:pPr>
      <w:r/>
      <w:bookmarkStart w:id="11" w:name="_Toc79152143"/>
      <w:r>
        <w:rPr>
          <w:rFonts w:hint="eastAsia"/>
          <w:b/>
          <w:bCs/>
        </w:rPr>
        <w:t xml:space="preserve">2.1全自动水质分析仪器单元</w:t>
      </w:r>
      <w:r/>
    </w:p>
    <w:p>
      <w:pPr>
        <w:pStyle w:val="966"/>
        <w:rPr>
          <w:b/>
          <w:bCs/>
        </w:rPr>
      </w:pPr>
      <w:r>
        <w:rPr>
          <w:rFonts w:hint="eastAsia"/>
          <w:b/>
          <w:bCs/>
        </w:rPr>
        <w:t xml:space="preserve">2.1.1全自动总磷总氮分析单元</w:t>
      </w:r>
      <w:r/>
    </w:p>
    <w:p>
      <w:pPr>
        <w:pStyle w:val="966"/>
      </w:pPr>
      <w:r>
        <w:rPr>
          <w:rFonts w:hint="eastAsia"/>
        </w:rPr>
        <w:t xml:space="preserve">2.1.1.用途要求</w:t>
      </w:r>
      <w:r/>
    </w:p>
    <w:p>
      <w:pPr>
        <w:pStyle w:val="966"/>
      </w:pPr>
      <w:r>
        <w:rPr>
          <w:rFonts w:hint="eastAsia"/>
        </w:rPr>
        <w:t xml:space="preserve">用于地表水中总磷、总氮指标的实验室全自动化检测。</w:t>
      </w:r>
      <w:r/>
    </w:p>
    <w:p>
      <w:pPr>
        <w:pStyle w:val="966"/>
        <w:rPr>
          <w:i/>
          <w:iCs/>
          <w:u w:val="single"/>
        </w:rPr>
      </w:pPr>
      <w:r>
        <w:rPr>
          <w:rFonts w:hint="eastAsia"/>
          <w:i/>
          <w:iCs/>
          <w:u w:val="single"/>
        </w:rPr>
        <w:t xml:space="preserve">2.1.2.</w:t>
      </w:r>
      <w:r>
        <w:rPr>
          <w:rFonts w:hint="eastAsia"/>
          <w:i/>
          <w:iCs/>
          <w:u w:val="single"/>
          <w:lang w:val="en-US" w:eastAsia="zh-CN"/>
        </w:rPr>
        <w:t xml:space="preserve">符合的标准</w:t>
      </w:r>
      <w:r>
        <w:rPr>
          <w:rFonts w:hint="eastAsia"/>
          <w:i/>
          <w:iCs/>
          <w:u w:val="single"/>
        </w:rPr>
        <w:t xml:space="preserve">要求</w:t>
      </w:r>
      <w:r/>
    </w:p>
    <w:p>
      <w:pPr>
        <w:pStyle w:val="966"/>
        <w:rPr>
          <w:b/>
          <w:bCs/>
          <w:i/>
          <w:iCs/>
          <w:u w:val="single"/>
        </w:rPr>
      </w:pPr>
      <w:r/>
      <w:bookmarkStart w:id="12" w:name="_Hlk217488647"/>
      <w:r>
        <w:rPr>
          <w:rFonts w:hint="eastAsia"/>
          <w:i/>
          <w:iCs/>
          <w:u w:val="single"/>
        </w:rPr>
        <w:t xml:space="preserve">完全遵循标准《水质 总磷的测定 钼酸铵分光光度法》（GB 11893-89） 、《水质 总氮的测定 碱性过硫酸钾消解紫外分光光度法》（HJ 636-2012）、《国家地表水环境质量监测网监测任务作业指导书》规定方法标准设计，包括取液量、试剂添加量、添加试剂种类、预处理方式、反应时间、分析过程、反应原理、分析检测设备完全参照上述标准要求。</w:t>
      </w:r>
      <w:r>
        <w:rPr>
          <w:rFonts w:hint="eastAsia"/>
          <w:b/>
          <w:bCs/>
          <w:i/>
          <w:iCs/>
          <w:u w:val="single"/>
        </w:rPr>
        <w:t xml:space="preserve">（提供与国标或行业标准流程的比对表或流程说明并加盖投标人公章）</w:t>
      </w:r>
      <w:r/>
    </w:p>
    <w:p>
      <w:pPr>
        <w:pStyle w:val="966"/>
        <w:rPr>
          <w:i/>
          <w:iCs/>
          <w:u w:val="single"/>
        </w:rPr>
      </w:pPr>
      <w:r>
        <w:rPr>
          <w:rFonts w:hint="eastAsia"/>
          <w:i/>
          <w:iCs/>
          <w:u w:val="single"/>
        </w:rPr>
        <w:t xml:space="preserve">总磷：样品量：25 mL，试剂量加入：过硫酸钾溶液4 mL、抗坏血酸溶液1 mL、钼酸盐溶液2 mL。</w:t>
      </w:r>
      <w:r/>
    </w:p>
    <w:p>
      <w:pPr>
        <w:pStyle w:val="966"/>
        <w:rPr>
          <w:i/>
          <w:iCs/>
          <w:u w:val="single"/>
        </w:rPr>
      </w:pPr>
      <w:r>
        <w:rPr>
          <w:rFonts w:hint="eastAsia"/>
          <w:i/>
          <w:iCs/>
          <w:u w:val="single"/>
        </w:rPr>
        <w:t xml:space="preserve">总氮：样品量：10.00 mL，试剂量加入：碱性过硫酸钾溶液5.00 mL、盐酸溶液1.0 mL。</w:t>
      </w:r>
      <w:bookmarkEnd w:id="12"/>
      <w:r/>
      <w:r/>
    </w:p>
    <w:p>
      <w:pPr>
        <w:pStyle w:val="966"/>
      </w:pPr>
      <w:r>
        <w:rPr>
          <w:rFonts w:hint="eastAsia"/>
        </w:rPr>
        <w:t xml:space="preserve">2.1.3.技术要求</w:t>
      </w:r>
      <w:r/>
    </w:p>
    <w:p>
      <w:pPr>
        <w:pStyle w:val="966"/>
      </w:pPr>
      <w:r>
        <w:rPr>
          <w:rFonts w:hint="eastAsia"/>
        </w:rPr>
        <w:t xml:space="preserve">2.1.3.1全自动独立完成国标规定检测工作：实验步骤由仪器全自动完成，分析方法完全符合国家标准方法；</w:t>
      </w:r>
      <w:r/>
    </w:p>
    <w:p>
      <w:pPr>
        <w:pStyle w:val="966"/>
        <w:rPr>
          <w:b/>
          <w:bCs/>
        </w:rPr>
      </w:pPr>
      <w:r>
        <w:rPr>
          <w:rFonts w:hint="eastAsia"/>
        </w:rPr>
        <w:t xml:space="preserve">▲2.1.3.2结构一体化设计：仪器由圆形高压锅、样品盘、光度检测模块和主机一体化集成整机设计，非设备各模块独立设计通过管路连接模式；</w:t>
      </w:r>
      <w:r>
        <w:rPr>
          <w:rFonts w:hint="eastAsia"/>
          <w:b/>
          <w:bCs/>
        </w:rPr>
        <w:t xml:space="preserve">（提供实物图片</w:t>
      </w:r>
      <w:r>
        <w:rPr>
          <w:rFonts w:hint="eastAsia"/>
          <w:b/>
          <w:bCs/>
          <w:lang w:val="en-US" w:eastAsia="zh-CN"/>
        </w:rPr>
        <w:t xml:space="preserve">及原厂技术白皮书</w:t>
      </w:r>
      <w:r>
        <w:rPr>
          <w:rFonts w:hint="eastAsia"/>
          <w:b/>
          <w:bCs/>
        </w:rPr>
        <w:t xml:space="preserve">并加盖投标人公章）</w:t>
      </w:r>
      <w:r/>
    </w:p>
    <w:p>
      <w:pPr>
        <w:pStyle w:val="966"/>
      </w:pPr>
      <w:r>
        <w:rPr>
          <w:rFonts w:hint="eastAsia"/>
        </w:rPr>
        <w:t xml:space="preserve">2.1.3.3样品流转：</w:t>
      </w:r>
      <w:r/>
    </w:p>
    <w:p>
      <w:pPr>
        <w:pStyle w:val="966"/>
      </w:pPr>
      <w:r>
        <w:rPr>
          <w:rFonts w:hint="eastAsia"/>
        </w:rPr>
        <w:t xml:space="preserve">2.1.3.3.1.提篮式样品盘，支持整盘转移样品管；</w:t>
      </w:r>
      <w:r/>
    </w:p>
    <w:p>
      <w:pPr>
        <w:pStyle w:val="966"/>
      </w:pPr>
      <w:r>
        <w:rPr>
          <w:rFonts w:hint="eastAsia"/>
        </w:rPr>
        <w:t xml:space="preserve">2.1.3.3.2.采用智能三维机械臂，实现全自动加入化学试剂；</w:t>
      </w:r>
      <w:r/>
    </w:p>
    <w:p>
      <w:pPr>
        <w:pStyle w:val="966"/>
        <w:rPr>
          <w:b/>
          <w:bCs/>
        </w:rPr>
      </w:pPr>
      <w:r>
        <w:rPr>
          <w:rFonts w:hint="eastAsia"/>
        </w:rPr>
        <w:t xml:space="preserve">▲2.1.3.3.3圆形高压锅可同时消解的样品数量≥45个。</w:t>
      </w:r>
      <w:bookmarkStart w:id="13" w:name="OLE_LINK22"/>
      <w:r/>
      <w:bookmarkStart w:id="14" w:name="OLE_LINK23"/>
      <w:r>
        <w:rPr>
          <w:rFonts w:hint="eastAsia"/>
          <w:b/>
          <w:bCs/>
        </w:rPr>
        <w:t xml:space="preserve">（提供第三方检测机构出具的检测报告复印件和放置于高压锅内并清晰可见数量的消解盘实物图片</w:t>
      </w:r>
      <w:r>
        <w:rPr>
          <w:rFonts w:hint="eastAsia"/>
          <w:b/>
          <w:bCs/>
          <w:lang w:val="en-US" w:eastAsia="zh-CN"/>
        </w:rPr>
        <w:t xml:space="preserve">并加盖投标人公章</w:t>
      </w:r>
      <w:r>
        <w:rPr>
          <w:rFonts w:hint="eastAsia"/>
          <w:b/>
          <w:bCs/>
        </w:rPr>
        <w:t xml:space="preserve">）</w:t>
      </w:r>
      <w:bookmarkEnd w:id="13"/>
      <w:r/>
      <w:bookmarkEnd w:id="14"/>
      <w:r/>
      <w:r/>
    </w:p>
    <w:p>
      <w:pPr>
        <w:pStyle w:val="966"/>
      </w:pPr>
      <w:r>
        <w:rPr>
          <w:rFonts w:hint="eastAsia"/>
        </w:rPr>
        <w:t xml:space="preserve">2.1.3.4.全自动高压蒸汽消解：</w:t>
      </w:r>
      <w:r/>
    </w:p>
    <w:p>
      <w:pPr>
        <w:pStyle w:val="966"/>
        <w:rPr>
          <w:b/>
          <w:bCs/>
        </w:rPr>
      </w:pPr>
      <w:r>
        <w:rPr>
          <w:rFonts w:hint="eastAsia"/>
        </w:rPr>
        <w:t xml:space="preserve">▲2.1.3.4.1.高压蒸汽消解样品，使用圆形高压锅和安全保护装置，保证受力均匀和安全的高压使用环境；无需开盖拧盖装置，减少旋转不到位或拧盖部件故障导致的样品管密封失败的风险；</w:t>
      </w:r>
      <w:bookmarkStart w:id="15" w:name="_Hlk217488740"/>
      <w:r>
        <w:rPr>
          <w:rFonts w:hint="eastAsia"/>
          <w:b/>
          <w:bCs/>
        </w:rPr>
        <w:t xml:space="preserve">（提供第三方检测机构出具给制造商的检测报告复印件和含圆形高压锅的整机清晰实物图片并加盖投标人公章）</w:t>
      </w:r>
      <w:bookmarkEnd w:id="15"/>
      <w:r/>
      <w:r/>
    </w:p>
    <w:p>
      <w:pPr>
        <w:pStyle w:val="966"/>
      </w:pPr>
      <w:r>
        <w:rPr>
          <w:rFonts w:hint="eastAsia"/>
        </w:rPr>
        <w:t xml:space="preserve">2.1.3.4.2.仪器支持高压锅自动开盖、关盖、加水、排水，无需人工介入； </w:t>
      </w:r>
      <w:r/>
    </w:p>
    <w:p>
      <w:pPr>
        <w:pStyle w:val="966"/>
      </w:pPr>
      <w:r/>
      <w:bookmarkStart w:id="16" w:name="_Hlk217488776"/>
      <w:r>
        <w:rPr>
          <w:rFonts w:hint="eastAsia"/>
        </w:rPr>
        <w:t xml:space="preserve">2.1.3.4.3.消解系统的消解温度控制在120-124℃，消解压力控制在1.1-1.4kg/cm²，在标准要求的温度和压力下消解保持30min</w:t>
      </w:r>
      <w:bookmarkEnd w:id="16"/>
      <w:r>
        <w:rPr>
          <w:rFonts w:hint="eastAsia"/>
        </w:rPr>
        <w:t xml:space="preserve">；</w:t>
      </w:r>
      <w:r/>
    </w:p>
    <w:p>
      <w:pPr>
        <w:pStyle w:val="966"/>
      </w:pPr>
      <w:r>
        <w:rPr>
          <w:rFonts w:hint="eastAsia"/>
        </w:rPr>
        <w:t xml:space="preserve">2.1.3.4.4.支持总磷、总氮同批次消解、检测。</w:t>
      </w:r>
      <w:r/>
    </w:p>
    <w:p>
      <w:pPr>
        <w:pStyle w:val="966"/>
      </w:pPr>
      <w:r>
        <w:rPr>
          <w:rFonts w:hint="eastAsia"/>
        </w:rPr>
        <w:t xml:space="preserve">2.1.3.5.检测系统：</w:t>
      </w:r>
      <w:r/>
    </w:p>
    <w:p>
      <w:pPr>
        <w:pStyle w:val="966"/>
        <w:rPr>
          <w:b/>
          <w:bCs/>
        </w:rPr>
      </w:pPr>
      <w:r>
        <w:rPr>
          <w:rFonts w:hint="eastAsia"/>
        </w:rPr>
        <w:t xml:space="preserve">▲2.1.3.5.1.试剂并行注入：不采用多通道选向阀进行流路切换，不同试剂有独立的管路、泵、阀，非蠕动泵数量需≥6个（柱塞泵或注射泵）；</w:t>
      </w:r>
      <w:r>
        <w:rPr>
          <w:rFonts w:hint="eastAsia"/>
          <w:b/>
          <w:bCs/>
        </w:rPr>
        <w:t xml:space="preserve">（提供安装于仪器内部的非蠕动泵的整机清晰实物图片，并标注数量并加盖投标人公章）</w:t>
      </w:r>
      <w:r/>
    </w:p>
    <w:p>
      <w:pPr>
        <w:pStyle w:val="966"/>
      </w:pPr>
      <w:r>
        <w:rPr>
          <w:rFonts w:hint="eastAsia"/>
        </w:rPr>
        <w:t xml:space="preserve">2.1.3.5.2.试剂余量监控：具有碱性过硫酸钾、盐酸、过硫酸钾、抗坏血酸、钼酸盐、色度浊度补偿液的试剂余量实时监控功能，确保实验有效进行；</w:t>
      </w:r>
      <w:r/>
    </w:p>
    <w:p>
      <w:pPr>
        <w:pStyle w:val="966"/>
      </w:pPr>
      <w:r>
        <w:rPr>
          <w:rFonts w:hint="eastAsia"/>
        </w:rPr>
        <w:t xml:space="preserve">2.1.3.5.3.浊度色度补偿：含有浊度或色度的总磷水样，可进行浊度色度补偿，扣除干扰；</w:t>
      </w:r>
      <w:r/>
    </w:p>
    <w:p>
      <w:pPr>
        <w:pStyle w:val="966"/>
      </w:pPr>
      <w:r>
        <w:rPr>
          <w:rFonts w:hint="eastAsia"/>
        </w:rPr>
        <w:t xml:space="preserve">2.1.3.5.4.水样稀释：具有样品稀释功能。</w:t>
      </w:r>
      <w:r/>
    </w:p>
    <w:p>
      <w:pPr>
        <w:pStyle w:val="966"/>
      </w:pPr>
      <w:r>
        <w:rPr>
          <w:rFonts w:hint="eastAsia"/>
        </w:rPr>
        <w:t xml:space="preserve">2.1.3.6全面质控：全流程信息化管理，具备样品检测信息管理系统，具有完整的原始数据记录，自动全流程质控方案，保证样品检测结果可信、可溯源。</w:t>
      </w:r>
      <w:r/>
    </w:p>
    <w:p>
      <w:pPr>
        <w:pStyle w:val="966"/>
      </w:pPr>
      <w:r/>
      <w:bookmarkStart w:id="17" w:name="_Hlk217488814"/>
      <w:r>
        <w:rPr>
          <w:rFonts w:hint="eastAsia"/>
        </w:rPr>
        <w:t xml:space="preserve">2.1.3.7 设备支持向智能实验室中控系统开放标准通信协议，可实现系统对设备的集中控制调度以及设备数据的自动上传。</w:t>
      </w:r>
      <w:bookmarkEnd w:id="17"/>
      <w:r/>
      <w:r/>
    </w:p>
    <w:p>
      <w:pPr>
        <w:pStyle w:val="966"/>
      </w:pPr>
      <w:r>
        <w:rPr>
          <w:rFonts w:hint="eastAsia"/>
        </w:rPr>
        <w:t xml:space="preserve">2.1.4.指标要求</w:t>
      </w:r>
      <w:r/>
    </w:p>
    <w:p>
      <w:pPr>
        <w:pStyle w:val="966"/>
      </w:pPr>
      <w:r>
        <w:rPr>
          <w:rFonts w:hint="eastAsia"/>
        </w:rPr>
        <w:t xml:space="preserve">2.1.4.1.测定范围：总磷：（0.01～1.2）mg/L（不稀释，取样量25 mL时）；总氮：（0.2～7.0）mg/L（不稀释，取样量10 mL时）；</w:t>
      </w:r>
      <w:r/>
    </w:p>
    <w:p>
      <w:pPr>
        <w:pStyle w:val="966"/>
      </w:pPr>
      <w:r>
        <w:rPr>
          <w:rFonts w:hint="eastAsia"/>
        </w:rPr>
        <w:t xml:space="preserve">2.1.4.2.精密度：总磷：RSD &lt;3.0%（0.6 mg/L）；总氮：RSD &lt;3.0%（3.5 mg/L）；</w:t>
      </w:r>
      <w:r/>
    </w:p>
    <w:p>
      <w:pPr>
        <w:pStyle w:val="966"/>
      </w:pPr>
      <w:r>
        <w:rPr>
          <w:rFonts w:hint="eastAsia"/>
        </w:rPr>
        <w:t xml:space="preserve">2.1.4.3.检出限：总磷：≤0.01 mg/L；总氮：≤0.05 mg/L；</w:t>
      </w:r>
      <w:r/>
    </w:p>
    <w:p>
      <w:pPr>
        <w:pStyle w:val="966"/>
      </w:pPr>
      <w:r>
        <w:rPr>
          <w:rFonts w:hint="eastAsia"/>
        </w:rPr>
        <w:t xml:space="preserve">2.1.4.4.高压锅容量：≥45位样品可同时消解；</w:t>
      </w:r>
      <w:r/>
    </w:p>
    <w:p>
      <w:pPr>
        <w:pStyle w:val="966"/>
      </w:pPr>
      <w:r>
        <w:rPr>
          <w:rFonts w:hint="eastAsia"/>
        </w:rPr>
        <w:t xml:space="preserve">2.1.4.5.线性系数：R&gt;0.999。</w:t>
      </w:r>
      <w:r/>
    </w:p>
    <w:p>
      <w:pPr>
        <w:pStyle w:val="966"/>
      </w:pPr>
      <w:r>
        <w:rPr>
          <w:rFonts w:hint="eastAsia"/>
        </w:rPr>
        <w:t xml:space="preserve">2.1.5.配置要求</w:t>
      </w:r>
      <w:r/>
    </w:p>
    <w:p>
      <w:pPr>
        <w:pStyle w:val="966"/>
      </w:pPr>
      <w:r>
        <w:rPr>
          <w:rFonts w:hint="eastAsia"/>
        </w:rPr>
        <w:t xml:space="preserve">全自动总磷总氮分析仪2套、可移动样品盘2套、样品管2套、安装调试用检测试剂包2套、纯水2套、废液桶2套、电源线与通讯线2套、安装工具2套、用户手册2套、触摸屏2套、数据处理软件2套。</w:t>
      </w:r>
      <w:r/>
    </w:p>
    <w:p>
      <w:pPr>
        <w:pStyle w:val="966"/>
        <w:rPr>
          <w:b/>
          <w:bCs/>
        </w:rPr>
      </w:pPr>
      <w:r>
        <w:rPr>
          <w:rFonts w:hint="eastAsia"/>
          <w:b/>
          <w:bCs/>
        </w:rPr>
        <w:t xml:space="preserve">2.2.全自动高锰酸盐指数</w:t>
      </w:r>
      <w:bookmarkEnd w:id="11"/>
      <w:r>
        <w:rPr>
          <w:rFonts w:hint="eastAsia"/>
          <w:b/>
          <w:bCs/>
        </w:rPr>
        <w:t xml:space="preserve">分析单元</w:t>
      </w:r>
      <w:r/>
    </w:p>
    <w:p>
      <w:pPr>
        <w:pStyle w:val="966"/>
      </w:pPr>
      <w:r>
        <w:rPr>
          <w:rFonts w:hint="eastAsia"/>
        </w:rPr>
        <w:t xml:space="preserve">2.2.1.用途要求</w:t>
      </w:r>
      <w:r/>
    </w:p>
    <w:p>
      <w:pPr>
        <w:pStyle w:val="966"/>
      </w:pPr>
      <w:r>
        <w:rPr>
          <w:rFonts w:hint="eastAsia"/>
        </w:rPr>
        <w:t xml:space="preserve">用于地表水中高锰酸盐指数指标的实验室全自动化检测。</w:t>
      </w:r>
      <w:r/>
    </w:p>
    <w:p>
      <w:pPr>
        <w:pStyle w:val="966"/>
        <w:rPr>
          <w:i/>
          <w:iCs/>
          <w:u w:val="single"/>
        </w:rPr>
      </w:pPr>
      <w:r>
        <w:rPr>
          <w:rFonts w:hint="eastAsia"/>
          <w:i/>
          <w:iCs/>
          <w:u w:val="single"/>
        </w:rPr>
        <w:t xml:space="preserve">2.2.2.</w:t>
      </w:r>
      <w:r>
        <w:rPr>
          <w:rFonts w:hint="eastAsia"/>
          <w:i/>
          <w:iCs/>
          <w:u w:val="single"/>
          <w:lang w:val="en-US" w:eastAsia="zh-CN"/>
        </w:rPr>
        <w:t xml:space="preserve">符合的标准</w:t>
      </w:r>
      <w:r>
        <w:rPr>
          <w:rFonts w:hint="eastAsia"/>
          <w:i/>
          <w:iCs/>
          <w:u w:val="single"/>
        </w:rPr>
        <w:t xml:space="preserve">要求</w:t>
      </w:r>
      <w:r/>
    </w:p>
    <w:p>
      <w:pPr>
        <w:pStyle w:val="966"/>
        <w:rPr>
          <w:b/>
          <w:bCs/>
          <w:i/>
          <w:iCs/>
          <w:u w:val="single"/>
        </w:rPr>
      </w:pPr>
      <w:r>
        <w:rPr>
          <w:rFonts w:hint="eastAsia"/>
          <w:i/>
          <w:iCs/>
          <w:u w:val="single"/>
        </w:rPr>
        <w:t xml:space="preserve">符合《水质 高锰酸盐指数的测定 草酸钠还原酸性滴定法》（HJ 1445-2026）、《水质 高锰酸盐指数的测定 草酸钠还原碱性滴定法》（HJ 1446-2026）、《国家地表水环境质量监测网监测任务作业指导书》、《生活饮用水标准检验方法 有机物综合指标》（GB/T 5750.7-2023）中规定的沸水浴消解-高锰酸钾滴定检测方法，完全符合实验室分析操作要求。</w:t>
      </w:r>
      <w:r>
        <w:rPr>
          <w:rFonts w:hint="eastAsia"/>
          <w:b/>
          <w:bCs/>
          <w:i/>
          <w:iCs/>
          <w:u w:val="single"/>
        </w:rPr>
        <w:t xml:space="preserve">（提供与国标或行业标准流程的比对表或流程说明并加盖投标人公章）</w:t>
      </w:r>
      <w:r/>
    </w:p>
    <w:p>
      <w:pPr>
        <w:pStyle w:val="966"/>
        <w:rPr>
          <w:i/>
          <w:iCs/>
          <w:u w:val="single"/>
        </w:rPr>
      </w:pPr>
      <w:r>
        <w:rPr>
          <w:rFonts w:hint="eastAsia"/>
          <w:i/>
          <w:iCs/>
          <w:u w:val="single"/>
        </w:rPr>
        <w:t xml:space="preserve">酸性法：样品量：100.0 mL，试剂量加入：硫酸5±0.5 mL、高锰酸钾溶液10.00 mL、草酸溶液10.00 mL。碱性法：样品量：100.0 mL，试剂量加入：氢氧化钠0.5 mL、高锰酸钾溶液10.00 mL、硫酸溶液10±0.5 mL。</w:t>
      </w:r>
      <w:r/>
    </w:p>
    <w:p>
      <w:pPr>
        <w:pStyle w:val="966"/>
      </w:pPr>
      <w:r>
        <w:rPr>
          <w:rFonts w:hint="eastAsia"/>
        </w:rPr>
        <w:t xml:space="preserve">2.2.3.技术要求</w:t>
      </w:r>
      <w:r/>
    </w:p>
    <w:p>
      <w:pPr>
        <w:pStyle w:val="966"/>
      </w:pPr>
      <w:r>
        <w:rPr>
          <w:rFonts w:hint="eastAsia"/>
        </w:rPr>
        <w:t xml:space="preserve">2.2.3.1.水浴消解锅：</w:t>
      </w:r>
      <w:r/>
    </w:p>
    <w:p>
      <w:pPr>
        <w:pStyle w:val="966"/>
      </w:pPr>
      <w:r>
        <w:rPr>
          <w:rFonts w:hint="eastAsia"/>
        </w:rPr>
        <w:t xml:space="preserve">2.2.3.1.1.温度、水位、消解时间可控，支持自动加水、补水，自带水位监测、异常报警功能；</w:t>
      </w:r>
      <w:r/>
    </w:p>
    <w:p>
      <w:pPr>
        <w:pStyle w:val="966"/>
      </w:pPr>
      <w:r>
        <w:rPr>
          <w:rFonts w:hint="eastAsia"/>
        </w:rPr>
        <w:t xml:space="preserve">2.2.3.1.2.消解孔自带水蒸气防溢门，当有样品管消解时防溢门自动打开，当样品管消解结束后防溢门自动关闭；</w:t>
      </w:r>
      <w:r/>
    </w:p>
    <w:p>
      <w:pPr>
        <w:pStyle w:val="966"/>
      </w:pPr>
      <w:r>
        <w:rPr>
          <w:rFonts w:hint="eastAsia"/>
        </w:rPr>
        <w:t xml:space="preserve">2.2.3.1.3.水浴锅自带内嵌式除水位，可去除水浴消解后样品管外壁残留的水珠； </w:t>
      </w:r>
      <w:r/>
    </w:p>
    <w:p>
      <w:pPr>
        <w:pStyle w:val="966"/>
      </w:pPr>
      <w:r>
        <w:rPr>
          <w:rFonts w:hint="eastAsia"/>
        </w:rPr>
        <w:t xml:space="preserve">2.2.3.1.4.消解位不少于8位，满足多个样品同时循环消解处理。</w:t>
      </w:r>
      <w:r/>
    </w:p>
    <w:p>
      <w:pPr>
        <w:pStyle w:val="966"/>
      </w:pPr>
      <w:r>
        <w:rPr>
          <w:rFonts w:hint="eastAsia"/>
        </w:rPr>
        <w:t xml:space="preserve">2.2.3.2.机械臂模块：</w:t>
      </w:r>
      <w:r/>
    </w:p>
    <w:p>
      <w:pPr>
        <w:pStyle w:val="966"/>
        <w:rPr>
          <w:b/>
          <w:bCs/>
        </w:rPr>
      </w:pPr>
      <w:r>
        <w:rPr>
          <w:rFonts w:hint="eastAsia"/>
        </w:rPr>
        <w:t xml:space="preserve">▲2.2.3.2.1.采用水平多关节四轴机械臂，非安装于仪器顶部的固定式轨道机械臂，可在仪器操作范围内上下、前后、左右移动，可360度旋转精准抓取、移动样品管；</w:t>
      </w:r>
      <w:r>
        <w:rPr>
          <w:rFonts w:hint="eastAsia"/>
          <w:b/>
          <w:bCs/>
        </w:rPr>
        <w:t xml:space="preserve">（提供四轴机械臂相关的第三方检测机构出具的检测报告复印件，和四周机械臂关节和各角度旋转的整机清晰实物图片并加盖投标人公章） </w:t>
      </w:r>
      <w:r/>
    </w:p>
    <w:p>
      <w:pPr>
        <w:pStyle w:val="966"/>
        <w:rPr>
          <w:b/>
          <w:bCs/>
        </w:rPr>
      </w:pPr>
      <w:r>
        <w:rPr>
          <w:rFonts w:hint="eastAsia"/>
        </w:rPr>
        <w:t xml:space="preserve">▲2.2.3.2.2.四轴机械臂顶端具有三色指示状态灯；</w:t>
      </w:r>
      <w:r>
        <w:rPr>
          <w:rFonts w:hint="eastAsia"/>
          <w:b/>
          <w:bCs/>
        </w:rPr>
        <w:t xml:space="preserve">（提供四轴机械臂顶端三色指示状态灯的整机清晰实物图并加盖投标人公章）</w:t>
      </w:r>
      <w:r/>
    </w:p>
    <w:p>
      <w:pPr>
        <w:pStyle w:val="966"/>
      </w:pPr>
      <w:r>
        <w:rPr>
          <w:rFonts w:hint="eastAsia"/>
        </w:rPr>
        <w:t xml:space="preserve">2.2.3.3.样品盘模块：</w:t>
      </w:r>
      <w:r/>
    </w:p>
    <w:p>
      <w:pPr>
        <w:pStyle w:val="966"/>
      </w:pPr>
      <w:r>
        <w:rPr>
          <w:rFonts w:hint="eastAsia"/>
        </w:rPr>
        <w:t xml:space="preserve">2.2.3.3.1.样品盘自带2个提手，提手采用金属材质，可支持多个样品盘组合； </w:t>
      </w:r>
      <w:r/>
    </w:p>
    <w:p>
      <w:pPr>
        <w:pStyle w:val="966"/>
      </w:pPr>
      <w:r>
        <w:rPr>
          <w:rFonts w:hint="eastAsia"/>
        </w:rPr>
        <w:t xml:space="preserve">2.2.3.3.2.样品位数≥25位，可实现当批次样品不间断连续分析。</w:t>
      </w:r>
      <w:r/>
    </w:p>
    <w:p>
      <w:pPr>
        <w:pStyle w:val="966"/>
      </w:pPr>
      <w:r>
        <w:rPr>
          <w:rFonts w:hint="eastAsia"/>
        </w:rPr>
        <w:t xml:space="preserve">2.2.3.4.滴定模块：</w:t>
      </w:r>
      <w:r/>
    </w:p>
    <w:p>
      <w:pPr>
        <w:pStyle w:val="966"/>
      </w:pPr>
      <w:r>
        <w:rPr>
          <w:rFonts w:hint="eastAsia"/>
        </w:rPr>
        <w:t xml:space="preserve">2.2.3.4.1.检测系统：模拟人眼终点判断算法，软件界面可直观看到滴定过程视频，且具有滴定过程视频回看功能；</w:t>
      </w:r>
      <w:r/>
    </w:p>
    <w:p>
      <w:pPr>
        <w:pStyle w:val="966"/>
      </w:pPr>
      <w:r>
        <w:rPr>
          <w:rFonts w:hint="eastAsia"/>
        </w:rPr>
        <w:t xml:space="preserve">2.2.3.4.2.至少含各自独立的2个滴定位和2个加液位； </w:t>
      </w:r>
      <w:r/>
    </w:p>
    <w:p>
      <w:pPr>
        <w:pStyle w:val="966"/>
      </w:pPr>
      <w:r>
        <w:rPr>
          <w:rFonts w:hint="eastAsia"/>
        </w:rPr>
        <w:t xml:space="preserve">2.2.3.4.3.含各自独立的滴定臂和加液臂，试剂加液、滴定比色互不干扰；</w:t>
      </w:r>
      <w:r/>
    </w:p>
    <w:p>
      <w:pPr>
        <w:pStyle w:val="966"/>
      </w:pPr>
      <w:r>
        <w:t xml:space="preserve">▲</w:t>
      </w:r>
      <w:r>
        <w:rPr>
          <w:rFonts w:hint="eastAsia"/>
        </w:rPr>
        <w:t xml:space="preserve">2.2.3.5.不同功能模块之间采用一体式快插设计，</w:t>
      </w:r>
      <w:bookmarkStart w:id="18" w:name="OLE_LINK45"/>
      <w:r>
        <w:rPr>
          <w:rFonts w:hint="eastAsia"/>
        </w:rPr>
        <w:t xml:space="preserve">即插即用</w:t>
      </w:r>
      <w:bookmarkEnd w:id="18"/>
      <w:r>
        <w:rPr>
          <w:rFonts w:hint="eastAsia"/>
          <w:b/>
          <w:bCs/>
        </w:rPr>
        <w:t xml:space="preserve">（提供水浴消解锅模块、四轴机械臂模块、样品盘模块、滴定模块四个模快插</w:t>
      </w:r>
      <w:bookmarkStart w:id="19" w:name="OLE_LINK44"/>
      <w:r>
        <w:rPr>
          <w:rFonts w:hint="eastAsia"/>
          <w:b/>
          <w:bCs/>
        </w:rPr>
        <w:t xml:space="preserve">组装视频截图</w:t>
      </w:r>
      <w:bookmarkEnd w:id="19"/>
      <w:r>
        <w:rPr>
          <w:rFonts w:hint="eastAsia"/>
          <w:b/>
          <w:bCs/>
        </w:rPr>
        <w:t xml:space="preserve">并加盖投标人公章）。</w:t>
      </w:r>
      <w:r/>
    </w:p>
    <w:p>
      <w:pPr>
        <w:pStyle w:val="966"/>
      </w:pPr>
      <w:r>
        <w:rPr>
          <w:rFonts w:hint="eastAsia"/>
        </w:rPr>
        <w:t xml:space="preserve">2.2.3.6.样品分析时间：连续分析样品，样品出数间隔</w:t>
      </w:r>
      <w:bookmarkStart w:id="20" w:name="OLE_LINK10"/>
      <w:r>
        <w:rPr>
          <w:rFonts w:hint="eastAsia"/>
        </w:rPr>
        <w:t xml:space="preserve">≤</w:t>
      </w:r>
      <w:bookmarkEnd w:id="20"/>
      <w:r>
        <w:rPr>
          <w:rFonts w:hint="eastAsia"/>
        </w:rPr>
        <w:t xml:space="preserve">4min。</w:t>
      </w:r>
      <w:r/>
    </w:p>
    <w:p>
      <w:pPr>
        <w:pStyle w:val="966"/>
      </w:pPr>
      <w:r>
        <w:rPr>
          <w:rFonts w:hint="eastAsia"/>
        </w:rPr>
        <w:t xml:space="preserve">2.2.3.7.急样添加：运行中支持紧急样品随时添加、优先检测，无需停机或暂停。</w:t>
      </w:r>
      <w:r/>
    </w:p>
    <w:p>
      <w:pPr>
        <w:pStyle w:val="966"/>
      </w:pPr>
      <w:r/>
      <w:bookmarkStart w:id="21" w:name="_Hlk217488168"/>
      <w:r>
        <w:rPr>
          <w:rFonts w:hint="eastAsia"/>
        </w:rPr>
        <w:t xml:space="preserve">2.2.3.8.设备支持向智能实验室中控系统开放标准通信协议，可实现系统对设备的集中控制调度以及设备数据的自动上传。</w:t>
      </w:r>
      <w:bookmarkEnd w:id="21"/>
      <w:r/>
      <w:r/>
    </w:p>
    <w:p>
      <w:pPr>
        <w:pStyle w:val="966"/>
      </w:pPr>
      <w:r>
        <w:rPr>
          <w:rFonts w:hint="eastAsia"/>
        </w:rPr>
        <w:t xml:space="preserve">2.2.4.指标要求</w:t>
      </w:r>
      <w:r/>
    </w:p>
    <w:p>
      <w:pPr>
        <w:pStyle w:val="966"/>
      </w:pPr>
      <w:r>
        <w:rPr>
          <w:rFonts w:hint="eastAsia"/>
        </w:rPr>
        <w:t xml:space="preserve">2.2.4.1.测定范围：(0.5～5.0) mg/L（不稀释，取样量100mL时）；</w:t>
      </w:r>
      <w:r/>
    </w:p>
    <w:p>
      <w:pPr>
        <w:pStyle w:val="966"/>
      </w:pPr>
      <w:r>
        <w:rPr>
          <w:rFonts w:hint="eastAsia"/>
        </w:rPr>
        <w:t xml:space="preserve">2.2.4.2.精密度：RSD&lt;3.0%（4 mg/L）；</w:t>
      </w:r>
      <w:r/>
    </w:p>
    <w:p>
      <w:pPr>
        <w:pStyle w:val="966"/>
      </w:pPr>
      <w:r>
        <w:rPr>
          <w:rFonts w:hint="eastAsia"/>
        </w:rPr>
        <w:t xml:space="preserve">2.2.4.3.检出限：&lt;0.05 mg/L，按照HJ168（A.1.3）规定的检出限公式计算；</w:t>
      </w:r>
      <w:r/>
    </w:p>
    <w:p>
      <w:pPr>
        <w:pStyle w:val="966"/>
      </w:pPr>
      <w:r>
        <w:rPr>
          <w:rFonts w:hint="eastAsia"/>
        </w:rPr>
        <w:t xml:space="preserve">2.2.4.4.滴定位数：2位；</w:t>
      </w:r>
      <w:r/>
    </w:p>
    <w:p>
      <w:pPr>
        <w:pStyle w:val="966"/>
      </w:pPr>
      <w:r>
        <w:rPr>
          <w:rFonts w:hint="eastAsia"/>
        </w:rPr>
        <w:t xml:space="preserve">2.2.4.5.样品位数：≥25位；</w:t>
      </w:r>
      <w:r/>
    </w:p>
    <w:p>
      <w:pPr>
        <w:pStyle w:val="966"/>
      </w:pPr>
      <w:r>
        <w:rPr>
          <w:rFonts w:hint="eastAsia"/>
        </w:rPr>
        <w:t xml:space="preserve">2.2.4.6.消解位数：≥8位。</w:t>
      </w:r>
      <w:r/>
    </w:p>
    <w:p>
      <w:pPr>
        <w:pStyle w:val="966"/>
      </w:pPr>
      <w:r>
        <w:rPr>
          <w:rFonts w:hint="eastAsia"/>
        </w:rPr>
        <w:t xml:space="preserve">2.2.5.配置要求</w:t>
      </w:r>
      <w:r/>
    </w:p>
    <w:p>
      <w:pPr>
        <w:pStyle w:val="966"/>
      </w:pPr>
      <w:r>
        <w:rPr>
          <w:rFonts w:hint="eastAsia"/>
        </w:rPr>
        <w:t xml:space="preserve">机械臂1套、水浴消解锅1套、滴定模块1套、样品盘及样品管 1套、安装调试用检测试剂包 1套、纯水与废液桶 1套、电源线与通讯线 1套、安装工具 1套、用户手册 1套、触摸屏1套、数据处理软件1套。</w:t>
      </w:r>
      <w:r/>
    </w:p>
    <w:p>
      <w:pPr>
        <w:pStyle w:val="966"/>
        <w:rPr>
          <w:b/>
          <w:bCs/>
        </w:rPr>
      </w:pPr>
      <w:r/>
      <w:bookmarkStart w:id="22" w:name="_Toc79152145"/>
      <w:r>
        <w:rPr>
          <w:rFonts w:hint="eastAsia"/>
          <w:b/>
          <w:bCs/>
        </w:rPr>
        <w:t xml:space="preserve">2.3.全自动氨氮</w:t>
      </w:r>
      <w:bookmarkEnd w:id="22"/>
      <w:r>
        <w:rPr>
          <w:rFonts w:hint="eastAsia"/>
          <w:b/>
          <w:bCs/>
        </w:rPr>
        <w:t xml:space="preserve">分析单元</w:t>
      </w:r>
      <w:r/>
    </w:p>
    <w:p>
      <w:pPr>
        <w:pStyle w:val="966"/>
      </w:pPr>
      <w:r>
        <w:rPr>
          <w:rFonts w:hint="eastAsia"/>
        </w:rPr>
        <w:t xml:space="preserve">2.3.1.用途要求</w:t>
      </w:r>
      <w:r/>
    </w:p>
    <w:p>
      <w:pPr>
        <w:pStyle w:val="966"/>
      </w:pPr>
      <w:r>
        <w:rPr>
          <w:rFonts w:hint="eastAsia"/>
        </w:rPr>
        <w:t xml:space="preserve">用于地表水中氨氮指标的实验室全自动化检测。</w:t>
      </w:r>
      <w:r/>
    </w:p>
    <w:p>
      <w:pPr>
        <w:pStyle w:val="966"/>
        <w:rPr>
          <w:i/>
          <w:iCs/>
          <w:u w:val="single"/>
        </w:rPr>
      </w:pPr>
      <w:r>
        <w:rPr>
          <w:rFonts w:hint="eastAsia"/>
          <w:i/>
          <w:iCs/>
          <w:u w:val="single"/>
        </w:rPr>
        <w:t xml:space="preserve">2.3.2.</w:t>
      </w:r>
      <w:r>
        <w:rPr>
          <w:rFonts w:hint="eastAsia"/>
          <w:i/>
          <w:iCs/>
          <w:u w:val="single"/>
          <w:lang w:val="en-US" w:eastAsia="zh-CN"/>
        </w:rPr>
        <w:t xml:space="preserve">符合的标准</w:t>
      </w:r>
      <w:r>
        <w:rPr>
          <w:rFonts w:hint="eastAsia"/>
          <w:i/>
          <w:iCs/>
          <w:u w:val="single"/>
        </w:rPr>
        <w:t xml:space="preserve">要求</w:t>
      </w:r>
      <w:r/>
    </w:p>
    <w:p>
      <w:pPr>
        <w:pStyle w:val="966"/>
        <w:rPr>
          <w:b/>
          <w:bCs/>
          <w:i/>
          <w:iCs/>
          <w:u w:val="single"/>
        </w:rPr>
      </w:pPr>
      <w:r>
        <w:rPr>
          <w:rFonts w:hint="eastAsia"/>
          <w:i/>
          <w:iCs/>
          <w:u w:val="single"/>
        </w:rPr>
        <w:t xml:space="preserve">完全遵循标准《水质 氨氮的测定 纳氏试剂分光光度法》（HJ 535-2009）、《国家地表水环境质量监测网监测任务作业指导书》规定方法标准设计。</w:t>
      </w:r>
      <w:r>
        <w:rPr>
          <w:rFonts w:hint="eastAsia"/>
          <w:b/>
          <w:bCs/>
          <w:i/>
          <w:iCs/>
          <w:u w:val="single"/>
        </w:rPr>
        <w:t xml:space="preserve">（提供与国标或行业标准流程的比对表或流程说明并加盖投标人公章）</w:t>
      </w:r>
      <w:r/>
    </w:p>
    <w:p>
      <w:pPr>
        <w:pStyle w:val="966"/>
        <w:rPr>
          <w:i/>
          <w:iCs/>
          <w:u w:val="single"/>
        </w:rPr>
      </w:pPr>
      <w:r>
        <w:rPr>
          <w:rFonts w:hint="eastAsia"/>
          <w:i/>
          <w:iCs/>
          <w:u w:val="single"/>
        </w:rPr>
        <w:t xml:space="preserve">样品量：100.0 mL，试剂量加入：硫酸锌溶液1 mL、氢氧化钠溶液0.1-0.2 mL、酒石酸钾钠1.0 mL、纳氏试剂1.0 mL。</w:t>
      </w:r>
      <w:r/>
    </w:p>
    <w:p>
      <w:pPr>
        <w:pStyle w:val="966"/>
      </w:pPr>
      <w:r>
        <w:rPr>
          <w:rFonts w:hint="eastAsia"/>
        </w:rPr>
        <w:t xml:space="preserve">2.3.3.技术要求</w:t>
      </w:r>
      <w:r/>
    </w:p>
    <w:p>
      <w:pPr>
        <w:pStyle w:val="966"/>
      </w:pPr>
      <w:r>
        <w:rPr>
          <w:rFonts w:hint="eastAsia"/>
        </w:rPr>
        <w:t xml:space="preserve">2.3.3.1全自动独立完成国标规定检测工作：实验步骤由仪器全自动完成，分析方法完全符合国家标准方法。</w:t>
      </w:r>
      <w:r/>
    </w:p>
    <w:p>
      <w:pPr>
        <w:pStyle w:val="966"/>
      </w:pPr>
      <w:r>
        <w:rPr>
          <w:rFonts w:hint="eastAsia"/>
        </w:rPr>
        <w:t xml:space="preserve">2.3.3.2结构一体化设计：仪器应具备絮凝沉淀过滤模块，可有效去除色度、浊度干扰；并与样品盘、检测模块、主机一体化集成设计，非设备各模块独立设计通过管路连接模式。</w:t>
      </w:r>
      <w:r/>
    </w:p>
    <w:p>
      <w:pPr>
        <w:pStyle w:val="966"/>
        <w:rPr>
          <w:b/>
          <w:bCs/>
        </w:rPr>
      </w:pPr>
      <w:r>
        <w:rPr>
          <w:rFonts w:hint="eastAsia"/>
        </w:rPr>
        <w:t xml:space="preserve">▲2.3.3.3采用外置式一次性过滤器进行样品沉淀后过滤，一批次可放置过滤器不少于40个；过滤器可自动更换；</w:t>
      </w:r>
      <w:r>
        <w:rPr>
          <w:rFonts w:hint="eastAsia"/>
          <w:b/>
          <w:bCs/>
        </w:rPr>
        <w:t xml:space="preserve">（</w:t>
      </w:r>
      <w:bookmarkStart w:id="23" w:name="_Hlk217488502"/>
      <w:r>
        <w:rPr>
          <w:rFonts w:hint="eastAsia"/>
          <w:b/>
          <w:bCs/>
        </w:rPr>
        <w:t xml:space="preserve">提供放置过滤器的产品整机清晰实物图片，并提供自动更换一次性过滤器视频截图证明</w:t>
      </w:r>
      <w:bookmarkEnd w:id="23"/>
      <w:r>
        <w:rPr>
          <w:rFonts w:hint="eastAsia"/>
          <w:b/>
          <w:bCs/>
        </w:rPr>
        <w:t xml:space="preserve">并加盖投标人公章）</w:t>
      </w:r>
      <w:r/>
    </w:p>
    <w:p>
      <w:pPr>
        <w:pStyle w:val="966"/>
      </w:pPr>
      <w:r>
        <w:rPr>
          <w:rFonts w:hint="eastAsia"/>
        </w:rPr>
        <w:t xml:space="preserve">2.3.3.4.样品流转：</w:t>
      </w:r>
      <w:r/>
    </w:p>
    <w:p>
      <w:pPr>
        <w:pStyle w:val="966"/>
      </w:pPr>
      <w:r>
        <w:rPr>
          <w:rFonts w:hint="eastAsia"/>
        </w:rPr>
        <w:t xml:space="preserve">2.3.3.4.1.可移动抽屉式样品盘，非圆盘模式样品管； </w:t>
      </w:r>
      <w:r/>
    </w:p>
    <w:p>
      <w:pPr>
        <w:pStyle w:val="966"/>
      </w:pPr>
      <w:r>
        <w:rPr>
          <w:rFonts w:hint="eastAsia"/>
        </w:rPr>
        <w:t xml:space="preserve">2.3.3.4.2.采用智能三维机械臂，全自动加入化学试剂。</w:t>
      </w:r>
      <w:r/>
    </w:p>
    <w:p>
      <w:pPr>
        <w:pStyle w:val="966"/>
      </w:pPr>
      <w:r>
        <w:rPr>
          <w:rFonts w:hint="eastAsia"/>
        </w:rPr>
        <w:t xml:space="preserve">2.3.3.5.检测系统：</w:t>
      </w:r>
      <w:r/>
    </w:p>
    <w:p>
      <w:pPr>
        <w:pStyle w:val="966"/>
      </w:pPr>
      <w:r>
        <w:rPr>
          <w:rFonts w:hint="eastAsia"/>
        </w:rPr>
        <w:t xml:space="preserve">2.3.3.5.1.试剂并行注入：不采用多通道选向阀进行流路切换，不同试剂有独立的管路、泵、阀；</w:t>
      </w:r>
      <w:r/>
    </w:p>
    <w:p>
      <w:pPr>
        <w:pStyle w:val="966"/>
      </w:pPr>
      <w:r>
        <w:rPr>
          <w:rFonts w:hint="eastAsia"/>
        </w:rPr>
        <w:t xml:space="preserve">2.3.3.5.2.试剂余量监控：具有氢氧化钠、硫酸锌、酒石酸钾钠、纳氏试剂的试剂余量实时监控功能；</w:t>
      </w:r>
      <w:r/>
    </w:p>
    <w:p>
      <w:pPr>
        <w:pStyle w:val="966"/>
      </w:pPr>
      <w:r>
        <w:rPr>
          <w:rFonts w:hint="eastAsia"/>
        </w:rPr>
        <w:t xml:space="preserve">2.3.3.5.3.自动配标：支持标液全自动配制、检测，线性系数R&gt;0.999。</w:t>
      </w:r>
      <w:r/>
    </w:p>
    <w:p>
      <w:pPr>
        <w:pStyle w:val="966"/>
      </w:pPr>
      <w:r>
        <w:rPr>
          <w:rFonts w:hint="eastAsia"/>
        </w:rPr>
        <w:t xml:space="preserve">2.3.3.6急样添加：运行中支持紧急样品随时添加、优先检测，无需停机或暂停。</w:t>
      </w:r>
      <w:r/>
    </w:p>
    <w:p>
      <w:pPr>
        <w:pStyle w:val="966"/>
      </w:pPr>
      <w:r>
        <w:rPr>
          <w:rFonts w:hint="eastAsia"/>
        </w:rPr>
        <w:t xml:space="preserve">2.3.3.7全面质控：全流程信息化管理，具备样品检测信息管理系统，具有完整的原始数据记录，自动全流程质控方案，保证样品检测结果可信、可溯源。</w:t>
      </w:r>
      <w:r/>
    </w:p>
    <w:p>
      <w:pPr>
        <w:pStyle w:val="966"/>
      </w:pPr>
      <w:r>
        <w:rPr>
          <w:rFonts w:hint="eastAsia"/>
        </w:rPr>
        <w:t xml:space="preserve">2.3.3.8人机交互系统：具有一键清洗/检测功能，显示界面运行状态及数据一目了然。</w:t>
      </w:r>
      <w:r/>
    </w:p>
    <w:p>
      <w:pPr>
        <w:pStyle w:val="966"/>
      </w:pPr>
      <w:r/>
      <w:bookmarkStart w:id="24" w:name="_Hlk217488544"/>
      <w:r>
        <w:rPr>
          <w:rFonts w:hint="eastAsia"/>
        </w:rPr>
        <w:t xml:space="preserve">2.3.3.9设备支持向智能实验室中控系统开放标准通信协议，可实现系统对设备的集中控制调度以及设备数据的自动上传。</w:t>
      </w:r>
      <w:bookmarkEnd w:id="24"/>
      <w:r/>
      <w:r/>
    </w:p>
    <w:p>
      <w:pPr>
        <w:pStyle w:val="966"/>
      </w:pPr>
      <w:r>
        <w:rPr>
          <w:rFonts w:hint="eastAsia"/>
        </w:rPr>
        <w:t xml:space="preserve">2.3.4 指标要求</w:t>
      </w:r>
      <w:r/>
    </w:p>
    <w:p>
      <w:pPr>
        <w:pStyle w:val="966"/>
      </w:pPr>
      <w:r>
        <w:rPr>
          <w:rFonts w:hint="eastAsia"/>
        </w:rPr>
        <w:t xml:space="preserve">2.3.4.1 测定范围：（0.10-2.0）mg/L（不稀释，取样量100mL时）；</w:t>
      </w:r>
      <w:r/>
    </w:p>
    <w:p>
      <w:pPr>
        <w:pStyle w:val="966"/>
      </w:pPr>
      <w:r>
        <w:rPr>
          <w:rFonts w:hint="eastAsia"/>
        </w:rPr>
        <w:t xml:space="preserve">2.3.4.2 精密度：RSD&lt;3.0%（1.0 mg/L）；</w:t>
      </w:r>
      <w:r/>
    </w:p>
    <w:p>
      <w:pPr>
        <w:pStyle w:val="966"/>
      </w:pPr>
      <w:r>
        <w:rPr>
          <w:rFonts w:hint="eastAsia"/>
        </w:rPr>
        <w:t xml:space="preserve">2.3.4.3 检出限：≤0.025 mg/L；</w:t>
      </w:r>
      <w:r/>
    </w:p>
    <w:p>
      <w:pPr>
        <w:pStyle w:val="966"/>
      </w:pPr>
      <w:r>
        <w:rPr>
          <w:rFonts w:hint="eastAsia"/>
        </w:rPr>
        <w:t xml:space="preserve">2.3.4.4 线性系数：R&gt;0.999；</w:t>
      </w:r>
      <w:r/>
    </w:p>
    <w:p>
      <w:pPr>
        <w:pStyle w:val="966"/>
      </w:pPr>
      <w:r>
        <w:rPr>
          <w:rFonts w:hint="eastAsia"/>
        </w:rPr>
        <w:t xml:space="preserve">2.3.5 配置要求</w:t>
      </w:r>
      <w:r/>
    </w:p>
    <w:p>
      <w:pPr>
        <w:pStyle w:val="966"/>
      </w:pPr>
      <w:r>
        <w:rPr>
          <w:rFonts w:hint="eastAsia"/>
        </w:rPr>
        <w:t xml:space="preserve">全自动氨氮分析仪 1套、可移动样品盘 1套、可移动过滤盘1套、样品管 1套、安装调试用检测试剂包 1套、纯水与废液桶 1套、电源线与通讯线 1套、安装工具 1套、用户手册 1套、触摸屏1套、数据处理软件1套。</w:t>
      </w:r>
      <w:r/>
    </w:p>
    <w:p>
      <w:pPr>
        <w:pStyle w:val="966"/>
        <w:rPr>
          <w:b/>
          <w:bCs/>
        </w:rPr>
      </w:pPr>
      <w:r>
        <w:rPr>
          <w:rFonts w:hint="eastAsia"/>
          <w:b/>
          <w:bCs/>
        </w:rPr>
        <w:t xml:space="preserve">2.4.全自动COD分析单元</w:t>
      </w:r>
      <w:r/>
    </w:p>
    <w:p>
      <w:pPr>
        <w:pStyle w:val="966"/>
      </w:pPr>
      <w:r>
        <w:rPr>
          <w:rFonts w:hint="eastAsia"/>
        </w:rPr>
        <w:t xml:space="preserve">2.4.1.用途要求</w:t>
      </w:r>
      <w:r/>
    </w:p>
    <w:p>
      <w:pPr>
        <w:pStyle w:val="966"/>
      </w:pPr>
      <w:r>
        <w:rPr>
          <w:rFonts w:hint="eastAsia"/>
        </w:rPr>
        <w:t xml:space="preserve">用于地表水中的CODcr值实验室全自动化检测。</w:t>
      </w:r>
      <w:r/>
    </w:p>
    <w:p>
      <w:pPr>
        <w:pStyle w:val="966"/>
        <w:rPr>
          <w:i/>
          <w:iCs/>
          <w:u w:val="single"/>
        </w:rPr>
      </w:pPr>
      <w:r>
        <w:rPr>
          <w:rFonts w:hint="eastAsia"/>
          <w:i/>
          <w:iCs/>
          <w:u w:val="single"/>
        </w:rPr>
        <w:t xml:space="preserve">2.4.2.</w:t>
      </w:r>
      <w:r>
        <w:rPr>
          <w:rFonts w:hint="eastAsia"/>
          <w:i/>
          <w:iCs/>
          <w:u w:val="single"/>
          <w:lang w:val="en-US" w:eastAsia="zh-CN"/>
        </w:rPr>
        <w:t xml:space="preserve">符合的标准</w:t>
      </w:r>
      <w:r>
        <w:rPr>
          <w:rFonts w:hint="eastAsia"/>
          <w:i/>
          <w:iCs/>
          <w:u w:val="single"/>
        </w:rPr>
        <w:t xml:space="preserve">要求</w:t>
      </w:r>
      <w:r/>
    </w:p>
    <w:p>
      <w:pPr>
        <w:pStyle w:val="966"/>
        <w:rPr>
          <w:b w:val="0"/>
          <w:bCs w:val="0"/>
          <w:i/>
          <w:iCs/>
          <w:u w:val="single"/>
        </w:rPr>
      </w:pPr>
      <w:r>
        <w:rPr>
          <w:rFonts w:hint="eastAsia"/>
          <w:b w:val="0"/>
          <w:bCs w:val="0"/>
          <w:i/>
          <w:iCs/>
          <w:u w:val="single"/>
        </w:rPr>
        <w:t xml:space="preserve">完全遵循标准《水质化学需氧量的测定重铬酸盐法》（HJ828-2017）。</w:t>
      </w:r>
      <w:r/>
    </w:p>
    <w:p>
      <w:pPr>
        <w:pStyle w:val="966"/>
      </w:pPr>
      <w:r>
        <w:rPr>
          <w:rFonts w:hint="eastAsia"/>
        </w:rPr>
        <w:t xml:space="preserve">2.4.3.技术要求</w:t>
      </w:r>
      <w:r/>
    </w:p>
    <w:p>
      <w:pPr>
        <w:pStyle w:val="966"/>
      </w:pPr>
      <w:r>
        <w:rPr>
          <w:rFonts w:hint="eastAsia"/>
        </w:rPr>
        <w:t xml:space="preserve">2.4.3.1.采用仿生视觉系统判定滴定终点，软件界面上可以以视频方式实时显示整个滴定过程并自动保存滴定前和滴定后水样的照片，方便溯源。</w:t>
      </w:r>
      <w:r/>
    </w:p>
    <w:p>
      <w:pPr>
        <w:pStyle w:val="966"/>
      </w:pPr>
      <w:r>
        <w:rPr>
          <w:rFonts w:hint="eastAsia"/>
        </w:rPr>
        <w:t xml:space="preserve">2.4.3.2采用高精度注射泵进行加液，且注射泵和多通道陶瓷旋转阀安装的位置在仪器正面，方便观察和维护。</w:t>
      </w:r>
      <w:r/>
    </w:p>
    <w:p>
      <w:pPr>
        <w:pStyle w:val="966"/>
      </w:pPr>
      <w:r>
        <w:rPr>
          <w:rFonts w:hint="eastAsia"/>
        </w:rPr>
        <w:t xml:space="preserve">2.4.3.3机械臂撞针、管路堵塞、样品杯缺失、未抽取到试剂能自动停止并报警。</w:t>
      </w:r>
      <w:r/>
    </w:p>
    <w:p>
      <w:pPr>
        <w:pStyle w:val="966"/>
      </w:pPr>
      <w:r>
        <w:rPr>
          <w:rFonts w:hint="eastAsia"/>
        </w:rPr>
        <w:t xml:space="preserve">2.4.3.4滴定过程中可根据样品的颜色自动调整滴定速度，单个高/低浓度样品滴定时间均小于5分钟。</w:t>
      </w:r>
      <w:r/>
    </w:p>
    <w:p>
      <w:pPr>
        <w:pStyle w:val="966"/>
      </w:pPr>
      <w:r>
        <w:rPr>
          <w:rFonts w:hint="eastAsia"/>
        </w:rPr>
        <w:t xml:space="preserve">2.4.3.5样品的消解、滴定都在原位完成，水样无需转移。且消解完成后，热源可自动与样品杯脱离，提高降温效率。</w:t>
      </w:r>
      <w:r/>
    </w:p>
    <w:p>
      <w:pPr>
        <w:pStyle w:val="966"/>
      </w:pPr>
      <w:r>
        <w:rPr>
          <w:rFonts w:hint="eastAsia"/>
        </w:rPr>
        <w:t xml:space="preserve">2.4.3.6仪器主机上能实时显示加热盘的温度，降温后显示滴定的温度，温度误差≤±0.5℃。</w:t>
      </w:r>
      <w:r/>
    </w:p>
    <w:p>
      <w:pPr>
        <w:pStyle w:val="966"/>
      </w:pPr>
      <w:r>
        <w:rPr>
          <w:rFonts w:hint="eastAsia"/>
        </w:rPr>
        <w:t xml:space="preserve">2.4.3.7硫酸银-硫酸和硫酸用两个独立的加液泵加液，且进液管和出液管不得使用同一根管子，防止两种试剂产生交叉污染。</w:t>
      </w:r>
      <w:r/>
    </w:p>
    <w:p>
      <w:pPr>
        <w:pStyle w:val="966"/>
      </w:pPr>
      <w:r>
        <w:rPr>
          <w:rFonts w:hint="eastAsia"/>
        </w:rPr>
        <w:t xml:space="preserve">2.4.3.8具有样品自动稀释功能，能够将水样自动稀释后再做样；做空白试验时，可放入空杯，10ml纯水由仪器自动加入。</w:t>
      </w:r>
      <w:r/>
    </w:p>
    <w:p>
      <w:pPr>
        <w:pStyle w:val="966"/>
      </w:pPr>
      <w:r>
        <w:rPr>
          <w:rFonts w:hint="eastAsia"/>
        </w:rPr>
        <w:t xml:space="preserve">2.4.3.9注射泵使用寿命不低于400万次，多通道陶瓷旋转阀使用寿命不低于3500万次。</w:t>
      </w:r>
      <w:r/>
    </w:p>
    <w:p>
      <w:pPr>
        <w:pStyle w:val="966"/>
      </w:pPr>
      <w:r>
        <w:rPr>
          <w:rFonts w:hint="eastAsia"/>
        </w:rPr>
        <w:t xml:space="preserve">2.4.3.10配套自动进样模块, 可以对接智能实验室分样系统，自动定量取水样并加入检测设备样品杯。</w:t>
      </w:r>
      <w:r/>
    </w:p>
    <w:p>
      <w:pPr>
        <w:pStyle w:val="966"/>
      </w:pPr>
      <w:r>
        <w:rPr>
          <w:rFonts w:hint="eastAsia"/>
        </w:rPr>
        <w:t xml:space="preserve">2.4.3.11软件可对接智能实验室中控系统软件，样品数据支持实时上传。</w:t>
      </w:r>
      <w:r/>
    </w:p>
    <w:p>
      <w:pPr>
        <w:pStyle w:val="966"/>
      </w:pPr>
      <w:r>
        <w:rPr>
          <w:rFonts w:hint="eastAsia"/>
        </w:rPr>
        <w:t xml:space="preserve">2.4.3.12样品位数：≥20位</w:t>
      </w:r>
      <w:r/>
    </w:p>
    <w:p>
      <w:pPr>
        <w:pStyle w:val="966"/>
      </w:pPr>
      <w:r>
        <w:rPr>
          <w:rFonts w:hint="eastAsia"/>
        </w:rPr>
        <w:t xml:space="preserve">2.4.3.13消解位数：≥20位</w:t>
      </w:r>
      <w:r/>
    </w:p>
    <w:p>
      <w:pPr>
        <w:pStyle w:val="966"/>
      </w:pPr>
      <w:r>
        <w:rPr>
          <w:rFonts w:hint="eastAsia"/>
        </w:rPr>
        <w:t xml:space="preserve">2.4.4.指标要求</w:t>
      </w:r>
      <w:r/>
    </w:p>
    <w:p>
      <w:pPr>
        <w:pStyle w:val="966"/>
      </w:pPr>
      <w:r>
        <w:rPr>
          <w:rFonts w:hint="eastAsia"/>
        </w:rPr>
        <w:t xml:space="preserve">2.4.4.1 检测范围：16-700mg/L</w:t>
      </w:r>
      <w:r/>
    </w:p>
    <w:p>
      <w:pPr>
        <w:pStyle w:val="966"/>
      </w:pPr>
      <w:r>
        <w:rPr>
          <w:rFonts w:hint="eastAsia"/>
        </w:rPr>
        <w:t xml:space="preserve">2.4.4.2检出限：≤4mg/L </w:t>
      </w:r>
      <w:r/>
    </w:p>
    <w:p>
      <w:pPr>
        <w:pStyle w:val="966"/>
      </w:pPr>
      <w:r>
        <w:rPr>
          <w:rFonts w:hint="eastAsia"/>
        </w:rPr>
        <w:t xml:space="preserve">2.4.4.3测定稳定性：RSD≤2%</w:t>
      </w:r>
      <w:r/>
    </w:p>
    <w:p>
      <w:pPr>
        <w:pStyle w:val="966"/>
      </w:pPr>
      <w:r>
        <w:rPr>
          <w:rFonts w:hint="eastAsia"/>
        </w:rPr>
        <w:t xml:space="preserve">2.4.4.4滴定稳定性：20ul RSD&lt;0.5%</w:t>
      </w:r>
      <w:r/>
    </w:p>
    <w:p>
      <w:pPr>
        <w:pStyle w:val="966"/>
      </w:pPr>
      <w:r>
        <w:rPr>
          <w:rFonts w:hint="eastAsia"/>
        </w:rPr>
        <w:t xml:space="preserve">2.4.4.5单次滴定量：10-1000ul(任选)</w:t>
      </w:r>
      <w:r/>
    </w:p>
    <w:p>
      <w:pPr>
        <w:pStyle w:val="966"/>
      </w:pPr>
      <w:r>
        <w:rPr>
          <w:rFonts w:hint="eastAsia"/>
        </w:rPr>
        <w:t xml:space="preserve">2.4.5.配置要求</w:t>
      </w:r>
      <w:r/>
    </w:p>
    <w:p>
      <w:pPr>
        <w:pStyle w:val="966"/>
      </w:pPr>
      <w:r>
        <w:rPr>
          <w:rFonts w:hint="eastAsia"/>
        </w:rPr>
        <w:t xml:space="preserve">全自动CODcr测定仪主机1台、自动进样器1台、纯水桶1套、废液桶2套、配件套包1套、用户手册1套、触摸屏1套、数据处理软件1套、配套仪器桌1套、废液和纯水告警组件1套。</w:t>
      </w:r>
      <w:r/>
    </w:p>
    <w:p>
      <w:pPr>
        <w:pStyle w:val="966"/>
        <w:rPr>
          <w:b/>
          <w:bCs/>
        </w:rPr>
      </w:pPr>
      <w:r>
        <w:rPr>
          <w:rFonts w:hint="eastAsia"/>
          <w:b/>
          <w:bCs/>
        </w:rPr>
        <w:t xml:space="preserve">2.5.全自动离子色谱分析单元</w:t>
      </w:r>
      <w:r/>
    </w:p>
    <w:p>
      <w:pPr>
        <w:pStyle w:val="966"/>
      </w:pPr>
      <w:r>
        <w:rPr>
          <w:rFonts w:hint="eastAsia"/>
        </w:rPr>
        <w:t xml:space="preserve">2.5.1.用途要求</w:t>
      </w:r>
      <w:r/>
    </w:p>
    <w:p>
      <w:pPr>
        <w:pStyle w:val="966"/>
      </w:pPr>
      <w:r>
        <w:rPr>
          <w:rFonts w:hint="eastAsia"/>
        </w:rPr>
        <w:t xml:space="preserve">用于地表水中</w:t>
      </w:r>
      <w:bookmarkStart w:id="25" w:name="OLE_LINK2"/>
      <w:r>
        <w:rPr>
          <w:rFonts w:hint="eastAsia"/>
        </w:rPr>
        <w:t xml:space="preserve">氟化物、硝酸盐、硫酸盐、氯化物</w:t>
      </w:r>
      <w:bookmarkEnd w:id="25"/>
      <w:r>
        <w:rPr>
          <w:rFonts w:hint="eastAsia"/>
        </w:rPr>
        <w:t xml:space="preserve">的检测。</w:t>
      </w:r>
      <w:r/>
    </w:p>
    <w:p>
      <w:pPr>
        <w:pStyle w:val="966"/>
        <w:rPr>
          <w:i/>
          <w:iCs/>
          <w:u w:val="single"/>
        </w:rPr>
      </w:pPr>
      <w:r>
        <w:rPr>
          <w:rFonts w:hint="eastAsia"/>
          <w:i/>
          <w:iCs/>
          <w:u w:val="single"/>
        </w:rPr>
        <w:t xml:space="preserve">2.5.2.</w:t>
      </w:r>
      <w:r>
        <w:rPr>
          <w:rFonts w:hint="eastAsia"/>
          <w:i/>
          <w:iCs/>
          <w:u w:val="single"/>
          <w:lang w:val="en-US" w:eastAsia="zh-CN"/>
        </w:rPr>
        <w:t xml:space="preserve">符合的标准</w:t>
      </w:r>
      <w:r>
        <w:rPr>
          <w:rFonts w:hint="eastAsia"/>
          <w:i/>
          <w:iCs/>
          <w:u w:val="single"/>
        </w:rPr>
        <w:t xml:space="preserve">要求</w:t>
      </w:r>
      <w:r/>
    </w:p>
    <w:p>
      <w:pPr>
        <w:pStyle w:val="966"/>
        <w:rPr>
          <w:i/>
          <w:iCs/>
          <w:u w:val="single"/>
        </w:rPr>
      </w:pPr>
      <w:r>
        <w:rPr>
          <w:rFonts w:hint="eastAsia"/>
          <w:i/>
          <w:iCs/>
          <w:u w:val="single"/>
        </w:rPr>
        <w:t xml:space="preserve">2.5.2.1.采用离子色谱法（采用双极脉冲电导检测器），仪器的分析方法采用电导法检测离子信号，离子型化合物经过离子交换色谱柱分离后通过电导检测器完成分析。</w:t>
      </w:r>
      <w:r/>
    </w:p>
    <w:p>
      <w:pPr>
        <w:pStyle w:val="966"/>
        <w:rPr>
          <w:i/>
          <w:iCs/>
          <w:u w:val="single"/>
        </w:rPr>
      </w:pPr>
      <w:r>
        <w:rPr>
          <w:rFonts w:hint="eastAsia"/>
          <w:i/>
          <w:iCs/>
          <w:u w:val="single"/>
        </w:rPr>
        <w:t xml:space="preserve">2.5.2.2.完全遵循标准《水质无机阴离子（F-、Cl-、NO2-、Br-、NO3-、PO43-、SO32-、SO42-）的测定离子色谱法》（HJ 84-2016）中离子色谱法规定方法标准设计。</w:t>
      </w:r>
      <w:r/>
    </w:p>
    <w:p>
      <w:pPr>
        <w:pStyle w:val="966"/>
      </w:pPr>
      <w:r>
        <w:rPr>
          <w:rFonts w:hint="eastAsia"/>
        </w:rPr>
        <w:t xml:space="preserve">2.5.3.技术要求</w:t>
      </w:r>
      <w:r/>
    </w:p>
    <w:p>
      <w:pPr>
        <w:pStyle w:val="966"/>
      </w:pPr>
      <w:r>
        <w:rPr>
          <w:rFonts w:hint="eastAsia"/>
        </w:rPr>
        <w:t xml:space="preserve">2.5.3.1样品接触材质为PEEK等惰性材质：有效避免金属析出以及管路腐蚀等。</w:t>
      </w:r>
      <w:r/>
    </w:p>
    <w:p>
      <w:pPr>
        <w:pStyle w:val="966"/>
      </w:pPr>
      <w:r>
        <w:rPr>
          <w:rFonts w:hint="eastAsia"/>
        </w:rPr>
        <w:t xml:space="preserve">2.5.3.2自动切换PEEK进样阀：自动切换进样阀的状态，降低工作量；和样品接触为PEEK材质。</w:t>
      </w:r>
      <w:r/>
    </w:p>
    <w:p>
      <w:pPr>
        <w:pStyle w:val="966"/>
        <w:rPr>
          <w:b/>
          <w:bCs/>
        </w:rPr>
      </w:pPr>
      <w:r>
        <w:rPr>
          <w:rFonts w:hint="eastAsia"/>
        </w:rPr>
        <w:t xml:space="preserve">▲2.5.3.3泵：泵废液阀需集成在泵内部，不能是独立的一部分。</w:t>
      </w:r>
      <w:r>
        <w:rPr>
          <w:rFonts w:hint="eastAsia"/>
          <w:b/>
          <w:bCs/>
        </w:rPr>
        <w:t xml:space="preserve">（提供实物视频截图证明，视频截图需体现整机外壳并加盖投标人公章）</w:t>
      </w:r>
      <w:r/>
    </w:p>
    <w:p>
      <w:pPr>
        <w:pStyle w:val="966"/>
      </w:pPr>
      <w:r>
        <w:rPr>
          <w:rFonts w:hint="eastAsia"/>
        </w:rPr>
        <w:t xml:space="preserve">2.5.3.4连续再生电解抑制器：抑制器避免酸碱再生，仅用水即可再生抑制器，安全可靠。</w:t>
      </w:r>
      <w:r/>
    </w:p>
    <w:p>
      <w:pPr>
        <w:pStyle w:val="966"/>
      </w:pPr>
      <w:r>
        <w:rPr>
          <w:rFonts w:hint="eastAsia"/>
        </w:rPr>
        <w:t xml:space="preserve">2.5.3.5淋洗液消耗少：淋洗液消耗仅为15ml/h，仅为常规离子色谱仪的1/4。</w:t>
      </w:r>
      <w:r/>
    </w:p>
    <w:p>
      <w:pPr>
        <w:pStyle w:val="966"/>
        <w:rPr>
          <w:b/>
          <w:bCs/>
        </w:rPr>
      </w:pPr>
      <w:r>
        <w:rPr>
          <w:rFonts w:hint="eastAsia"/>
        </w:rPr>
        <w:t xml:space="preserve">▲2.5.3.6分析仪内置双级温控系统，检测室具备制冷功能：可保证在0℃-45℃下正常工作。过滤模块：自动过滤样品，样品无需手动过滤，可直接放置在自动进样器上等待进样</w:t>
      </w:r>
      <w:r>
        <w:rPr>
          <w:rFonts w:hint="eastAsia"/>
          <w:lang w:eastAsia="zh-CN"/>
        </w:rPr>
        <w:t xml:space="preserve">；</w:t>
      </w:r>
      <w:r>
        <w:rPr>
          <w:rFonts w:hint="eastAsia"/>
        </w:rPr>
        <w:t xml:space="preserve">过滤模块为一个样品进口，2个出口</w:t>
      </w:r>
      <w:r>
        <w:rPr>
          <w:rFonts w:hint="eastAsia"/>
          <w:lang w:eastAsia="zh-CN"/>
        </w:rPr>
        <w:t xml:space="preserve">。</w:t>
      </w:r>
      <w:r>
        <w:rPr>
          <w:rFonts w:hint="eastAsia"/>
          <w:b/>
          <w:bCs/>
        </w:rPr>
        <w:t xml:space="preserve">（提供整机内置双级温控系统的清晰实物图</w:t>
      </w:r>
      <w:r>
        <w:rPr>
          <w:rFonts w:hint="eastAsia"/>
          <w:b/>
          <w:bCs/>
          <w:lang w:val="en-US" w:eastAsia="zh-CN"/>
        </w:rPr>
        <w:t xml:space="preserve">及</w:t>
      </w:r>
      <w:r>
        <w:rPr>
          <w:rFonts w:hint="eastAsia"/>
          <w:b/>
          <w:bCs/>
        </w:rPr>
        <w:t xml:space="preserve">整机配置样品前处理模块清晰实物图并加盖投标人公章）</w:t>
      </w:r>
      <w:r/>
    </w:p>
    <w:p>
      <w:pPr>
        <w:pStyle w:val="966"/>
      </w:pPr>
      <w:r>
        <w:rPr>
          <w:rFonts w:hint="eastAsia"/>
        </w:rPr>
        <w:t xml:space="preserve">2.5.3.7具备漏液自动报警功能。</w:t>
      </w:r>
      <w:r/>
    </w:p>
    <w:p>
      <w:pPr>
        <w:pStyle w:val="966"/>
      </w:pPr>
      <w:r>
        <w:rPr>
          <w:rFonts w:hint="eastAsia"/>
        </w:rPr>
        <w:t xml:space="preserve">2.5.3.8多种仪器交互方式：包括主机触摸屏和外部PC工作站两种方式交互：主机内置触摸屏，轻松实现参数监控；外部工作站实现复杂分析操作。</w:t>
      </w:r>
      <w:r/>
    </w:p>
    <w:p>
      <w:pPr>
        <w:pStyle w:val="966"/>
      </w:pPr>
      <w:r>
        <w:rPr>
          <w:rFonts w:hint="eastAsia"/>
        </w:rPr>
        <w:t xml:space="preserve">2.5.3.9.样品前处理模块</w:t>
      </w:r>
      <w:r/>
    </w:p>
    <w:p>
      <w:pPr>
        <w:pStyle w:val="966"/>
      </w:pPr>
      <w:r>
        <w:rPr>
          <w:rFonts w:hint="eastAsia"/>
        </w:rPr>
        <w:t xml:space="preserve">2.5.3.9.</w:t>
      </w:r>
      <w:r>
        <w:rPr>
          <w:rFonts w:hint="eastAsia"/>
          <w:lang w:val="en-US" w:eastAsia="zh-CN"/>
        </w:rPr>
        <w:t xml:space="preserve">1</w:t>
      </w:r>
      <w:r>
        <w:rPr>
          <w:rFonts w:hint="eastAsia"/>
        </w:rPr>
        <w:t xml:space="preserve">.过滤模块：过滤采用超滤原理，使滤膜可重复使用100次以上。</w:t>
      </w:r>
      <w:r/>
    </w:p>
    <w:p>
      <w:pPr>
        <w:pStyle w:val="966"/>
      </w:pPr>
      <w:r>
        <w:rPr>
          <w:rFonts w:hint="eastAsia"/>
        </w:rPr>
        <w:t xml:space="preserve">2.5.3.10.自动进样器</w:t>
      </w:r>
      <w:r/>
    </w:p>
    <w:p>
      <w:pPr>
        <w:pStyle w:val="966"/>
      </w:pPr>
      <w:r>
        <w:rPr>
          <w:rFonts w:hint="eastAsia"/>
        </w:rPr>
        <w:t xml:space="preserve">2.5.3.10.1.组成：包括进样针、清洗池、托盘和样品架、标液架、XYZ运动机构等。</w:t>
      </w:r>
      <w:r/>
    </w:p>
    <w:p>
      <w:pPr>
        <w:pStyle w:val="966"/>
      </w:pPr>
      <w:r>
        <w:rPr>
          <w:rFonts w:hint="eastAsia"/>
        </w:rPr>
        <w:t xml:space="preserve">2.5.3.10.2.样品管位数及体积：需可放置不少于60位直径≥28mm的样品管。</w:t>
      </w:r>
      <w:r/>
    </w:p>
    <w:p>
      <w:pPr>
        <w:pStyle w:val="966"/>
      </w:pPr>
      <w:r>
        <w:rPr>
          <w:rFonts w:hint="eastAsia"/>
        </w:rPr>
        <w:t xml:space="preserve">2.5.3.11. 设备支持向智能实验室中控系统开放标准通信协议，可实现系统对设备的集中控制调度以及设备数据的自动上传。</w:t>
      </w:r>
      <w:r/>
    </w:p>
    <w:p>
      <w:pPr>
        <w:pStyle w:val="966"/>
      </w:pPr>
      <w:r>
        <w:rPr>
          <w:rFonts w:hint="eastAsia"/>
        </w:rPr>
        <w:t xml:space="preserve">2.5.3.12.淋洗液发生器：淋洗液发生器主机集成触摸屏，方便单独操作。（提供实物图片）</w:t>
      </w:r>
      <w:r/>
    </w:p>
    <w:p>
      <w:pPr>
        <w:pStyle w:val="966"/>
      </w:pPr>
      <w:r>
        <w:rPr>
          <w:rFonts w:hint="eastAsia"/>
        </w:rPr>
        <w:t xml:space="preserve">2.5.4.指标要求</w:t>
      </w:r>
      <w:r/>
    </w:p>
    <w:p>
      <w:pPr>
        <w:pStyle w:val="966"/>
      </w:pPr>
      <w:r>
        <w:rPr>
          <w:rFonts w:hint="eastAsia"/>
        </w:rPr>
        <w:t xml:space="preserve">2.5.4.1.定量方式：离子交换型色谱柱实现组分分离，采用定量环进样；</w:t>
      </w:r>
      <w:r/>
    </w:p>
    <w:p>
      <w:pPr>
        <w:pStyle w:val="966"/>
      </w:pPr>
      <w:r>
        <w:rPr>
          <w:rFonts w:hint="eastAsia"/>
        </w:rPr>
        <w:t xml:space="preserve">2.5.4.2.双柱塞脉冲输液泵：泵体为PEEK，耐压不低于5000PSI；</w:t>
      </w:r>
      <w:r/>
    </w:p>
    <w:p>
      <w:pPr>
        <w:pStyle w:val="966"/>
      </w:pPr>
      <w:r>
        <w:rPr>
          <w:rFonts w:hint="eastAsia"/>
        </w:rPr>
        <w:t xml:space="preserve">2.5.4.3.柱温箱温控范围30-60℃，柱温箱温控精度±0.05℃；</w:t>
      </w:r>
      <w:r/>
    </w:p>
    <w:p>
      <w:pPr>
        <w:pStyle w:val="966"/>
      </w:pPr>
      <w:r>
        <w:rPr>
          <w:rFonts w:hint="eastAsia"/>
        </w:rPr>
        <w:t xml:space="preserve">2.5.4.4.检测器温控范围30-60℃，检测器温控精度±0.002℃；</w:t>
      </w:r>
      <w:r/>
    </w:p>
    <w:p>
      <w:pPr>
        <w:pStyle w:val="966"/>
      </w:pPr>
      <w:r>
        <w:rPr>
          <w:rFonts w:hint="eastAsia"/>
        </w:rPr>
        <w:t xml:space="preserve">2.5.4.5.量程：0-16000μs/cm；</w:t>
      </w:r>
      <w:r/>
    </w:p>
    <w:p>
      <w:pPr>
        <w:pStyle w:val="966"/>
      </w:pPr>
      <w:r>
        <w:rPr>
          <w:rFonts w:hint="eastAsia"/>
        </w:rPr>
        <w:t xml:space="preserve">2.5.4.6.检出限：Cl-≤0.001μg/mL；</w:t>
      </w:r>
      <w:r/>
    </w:p>
    <w:p>
      <w:pPr>
        <w:pStyle w:val="966"/>
      </w:pPr>
      <w:r>
        <w:rPr>
          <w:rFonts w:hint="eastAsia"/>
        </w:rPr>
        <w:t xml:space="preserve">2.5.4.7.定性重复性：≤2%；</w:t>
      </w:r>
      <w:r/>
    </w:p>
    <w:p>
      <w:pPr>
        <w:pStyle w:val="966"/>
      </w:pPr>
      <w:r>
        <w:rPr>
          <w:rFonts w:hint="eastAsia"/>
        </w:rPr>
        <w:t xml:space="preserve">2.5.4.8.定量重复性：≤2%。</w:t>
      </w:r>
      <w:r/>
    </w:p>
    <w:p>
      <w:pPr>
        <w:pStyle w:val="966"/>
      </w:pPr>
      <w:r>
        <w:rPr>
          <w:rFonts w:hint="eastAsia"/>
        </w:rPr>
        <w:t xml:space="preserve">2.5.5.配置要求</w:t>
      </w:r>
      <w:r/>
    </w:p>
    <w:p>
      <w:pPr>
        <w:pStyle w:val="966"/>
      </w:pPr>
      <w:r>
        <w:rPr>
          <w:rFonts w:hint="eastAsia"/>
        </w:rPr>
        <w:t xml:space="preserve">离子色谱分析仪主机（含电导检测器、恒温箱、高压泵等） 1套、连续再生电解抑制器（阴） 1套、4mm色谱柱及保护柱（阴） 1套、自动进样器 1套、样品前处理模块 1套、不小于25L的纯水与废液桶 1套、触摸屏1套、数据处理软件1套。</w:t>
      </w:r>
      <w:r/>
    </w:p>
    <w:p>
      <w:pPr>
        <w:pStyle w:val="966"/>
        <w:rPr>
          <w:b/>
          <w:bCs/>
        </w:rPr>
      </w:pPr>
      <w:r>
        <w:rPr>
          <w:rFonts w:hint="eastAsia"/>
          <w:b/>
          <w:bCs/>
        </w:rPr>
        <w:t xml:space="preserve">2.6.全自动流动注射分析单元</w:t>
      </w:r>
      <w:r/>
    </w:p>
    <w:p>
      <w:pPr>
        <w:pStyle w:val="966"/>
      </w:pPr>
      <w:r>
        <w:rPr>
          <w:rFonts w:hint="eastAsia"/>
        </w:rPr>
        <w:t xml:space="preserve">2.6.1.用途要求</w:t>
      </w:r>
      <w:r/>
    </w:p>
    <w:p>
      <w:pPr>
        <w:pStyle w:val="966"/>
      </w:pPr>
      <w:r>
        <w:rPr>
          <w:rFonts w:hint="eastAsia"/>
        </w:rPr>
        <w:t xml:space="preserve">用于测定地表水中挥发酚、氰化物、硫化物、阴离子表面活性剂四参数。</w:t>
      </w:r>
      <w:r/>
    </w:p>
    <w:p>
      <w:pPr>
        <w:pStyle w:val="966"/>
      </w:pPr>
      <w:r>
        <w:rPr>
          <w:rFonts w:hint="eastAsia"/>
        </w:rPr>
        <w:t xml:space="preserve">2.6.2.原理要求</w:t>
      </w:r>
      <w:r/>
    </w:p>
    <w:p>
      <w:pPr>
        <w:pStyle w:val="966"/>
      </w:pPr>
      <w:r>
        <w:rPr>
          <w:rFonts w:hint="eastAsia"/>
        </w:rPr>
        <w:t xml:space="preserve">仪器采用流动分析法中流动注射（FIA）原理。样品通过定量阀注入管路，和试剂在管路中流动混合反应，通过流通池检测特定波长下反应产物的吸光强度，分析待测物浓度。实验全程不需要空气阀、空气泵、空泵管等供气装置。</w:t>
      </w:r>
      <w:r/>
    </w:p>
    <w:p>
      <w:pPr>
        <w:pStyle w:val="966"/>
      </w:pPr>
      <w:r>
        <w:rPr>
          <w:rFonts w:hint="eastAsia"/>
        </w:rPr>
        <w:t xml:space="preserve">2.6.3.技术要求</w:t>
      </w:r>
      <w:r/>
    </w:p>
    <w:p>
      <w:pPr>
        <w:pStyle w:val="966"/>
      </w:pPr>
      <w:r>
        <w:rPr>
          <w:rFonts w:hint="eastAsia"/>
        </w:rPr>
        <w:t xml:space="preserve">2.6.3.1.仪器组成</w:t>
      </w:r>
      <w:r/>
    </w:p>
    <w:p>
      <w:pPr>
        <w:pStyle w:val="966"/>
      </w:pPr>
      <w:r>
        <w:rPr>
          <w:rFonts w:hint="eastAsia"/>
        </w:rPr>
        <w:t xml:space="preserve">2.6.3.1.1.仪器为一体化设计，包括一个外置进样器、一台主机和电脑即可工作。无需数据转换器、冷水机等。能单台独立或多台并联工作，不需要空气泵等供气装置即可正常实验；</w:t>
      </w:r>
      <w:r/>
    </w:p>
    <w:p>
      <w:pPr>
        <w:pStyle w:val="966"/>
      </w:pPr>
      <w:r>
        <w:rPr>
          <w:rFonts w:hint="eastAsia"/>
        </w:rPr>
        <w:t xml:space="preserve">2.6.3.1.2.所有进样器和分析主机彼此完全独立，有各自所属的数据通讯接口、电源接口等。进样器不内置在主机内，避免故障后影响主机使用。仪器、进样器、电脑，三者使用WLAN连接通讯，稳定快速，不使用旧有的USB或RS232接口等传输技术；</w:t>
      </w:r>
      <w:r/>
    </w:p>
    <w:p>
      <w:pPr>
        <w:pStyle w:val="966"/>
      </w:pPr>
      <w:r>
        <w:rPr>
          <w:rFonts w:hint="eastAsia"/>
        </w:rPr>
        <w:t xml:space="preserve">2.6.3.1.3.仪器有半透明材料一体成型的上盖，具备防紫外线功能。非多个部分组合在一起，避免结构不稳定。</w:t>
      </w:r>
      <w:r/>
    </w:p>
    <w:p>
      <w:pPr>
        <w:pStyle w:val="966"/>
      </w:pPr>
      <w:r>
        <w:rPr>
          <w:rFonts w:hint="eastAsia"/>
        </w:rPr>
        <w:t xml:space="preserve">2.6.3.2 进样系统：蠕动泵含≥12道管路，≥12根泵轴，整体压块式设计。</w:t>
      </w:r>
      <w:r/>
    </w:p>
    <w:p>
      <w:pPr>
        <w:pStyle w:val="966"/>
      </w:pPr>
      <w:r>
        <w:rPr>
          <w:rFonts w:hint="eastAsia"/>
        </w:rPr>
        <w:t xml:space="preserve">2.6.3.3. 前处理装置</w:t>
      </w:r>
      <w:r/>
    </w:p>
    <w:p>
      <w:pPr>
        <w:pStyle w:val="966"/>
      </w:pPr>
      <w:r>
        <w:rPr>
          <w:rFonts w:hint="eastAsia"/>
        </w:rPr>
        <w:t xml:space="preserve">2.6.3.3. 1.根据方法需要，可配套内置在线加热、在线蒸馏、在线紫外消解、在线冷凝、在线萃取等装置。内置加热装置全部为电加热方式，无需加入导热油。在线冷凝装置使用电冷凝，无需水循环装置。在线蒸馏和在线萃取使用膜分离装置，实验前无需镀膜操作；</w:t>
      </w:r>
      <w:r/>
    </w:p>
    <w:p>
      <w:pPr>
        <w:pStyle w:val="966"/>
      </w:pPr>
      <w:r>
        <w:rPr>
          <w:rFonts w:hint="eastAsia"/>
        </w:rPr>
        <w:t xml:space="preserve">2.6.3.3. 2.针对复杂水质有相应解决方案，可升级外置粗管路的在线蒸馏、在线消解装置，并留有管路升级接口。</w:t>
      </w:r>
      <w:r/>
    </w:p>
    <w:p>
      <w:pPr>
        <w:pStyle w:val="966"/>
      </w:pPr>
      <w:r>
        <w:rPr>
          <w:rFonts w:hint="eastAsia"/>
        </w:rPr>
        <w:t xml:space="preserve">2.6.3.4. 流路系统</w:t>
      </w:r>
      <w:r/>
    </w:p>
    <w:p>
      <w:pPr>
        <w:pStyle w:val="966"/>
      </w:pPr>
      <w:r>
        <w:rPr>
          <w:rFonts w:hint="eastAsia"/>
        </w:rPr>
        <w:t xml:space="preserve">2.6.3.4. 1.分析管路固定在流路面板上，使用时面板与桌面呈水平放置，角度＜5°，并作为验收指标。分析管路全部使用FEP材质，不使用石英等材质。无需空气泵、气瓶等供气装置，无需注入气体；</w:t>
      </w:r>
      <w:r/>
    </w:p>
    <w:p>
      <w:pPr>
        <w:pStyle w:val="966"/>
      </w:pPr>
      <w:r>
        <w:rPr>
          <w:rFonts w:hint="eastAsia"/>
        </w:rPr>
        <w:t xml:space="preserve">2.6.3.4. 2.可在一台主机上实现多种指标分析，其中流路、镉柱等由阀自动切换，流路中无需手动切换阀，不同测试项目切换时间≤5s；</w:t>
      </w:r>
      <w:r/>
    </w:p>
    <w:p>
      <w:pPr>
        <w:pStyle w:val="966"/>
      </w:pPr>
      <w:r>
        <w:rPr>
          <w:rFonts w:hint="eastAsia"/>
        </w:rPr>
        <w:t xml:space="preserve">2.6.3.4. 3.一台配置多功能通道的主机，可以测试≥3种项目。</w:t>
      </w:r>
      <w:r/>
    </w:p>
    <w:p>
      <w:pPr>
        <w:pStyle w:val="966"/>
      </w:pPr>
      <w:r>
        <w:rPr>
          <w:rFonts w:hint="eastAsia"/>
        </w:rPr>
        <w:t xml:space="preserve">2.6.3.5. 检测系统</w:t>
      </w:r>
      <w:r/>
    </w:p>
    <w:p>
      <w:pPr>
        <w:pStyle w:val="966"/>
      </w:pPr>
      <w:r>
        <w:rPr>
          <w:rFonts w:hint="eastAsia"/>
        </w:rPr>
        <w:t xml:space="preserve">2.6.3.5. 1.检测器采用双光束型检测器，采用卤钨灯光源，不使用LED光源。卤钨灯光源波长范围340-1100nm；</w:t>
      </w:r>
      <w:r/>
    </w:p>
    <w:p>
      <w:pPr>
        <w:pStyle w:val="966"/>
      </w:pPr>
      <w:r>
        <w:rPr>
          <w:rFonts w:hint="eastAsia"/>
        </w:rPr>
        <w:t xml:space="preserve">2.6.3.5. 2.采用流通式比色皿，不使用易堵塞的毛细管光纤流通池（LWCC），至少支持光程10-30mm的比色皿安装空间，以适用不同浓度样品的检测。且比色皿为外露部件，方便取出观察堵塞情况，不能设置在仪器内部。</w:t>
      </w:r>
      <w:r/>
    </w:p>
    <w:p>
      <w:pPr>
        <w:pStyle w:val="966"/>
      </w:pPr>
      <w:r>
        <w:rPr>
          <w:rFonts w:hint="eastAsia"/>
        </w:rPr>
        <w:t xml:space="preserve">2.6.3.5. 3.开机5s内即可立即开始实验，无需预热，无需等待基线平稳等操作。</w:t>
      </w:r>
      <w:r/>
    </w:p>
    <w:p>
      <w:pPr>
        <w:pStyle w:val="966"/>
      </w:pPr>
      <w:r>
        <w:rPr>
          <w:rFonts w:hint="eastAsia"/>
        </w:rPr>
        <w:t xml:space="preserve">2.6.3.6 数据处理系统：软件全部中文界面，可实时监控仪器各种参数及状态，并有异常报警提示。有多级权限的用户登录功能，保证数据安全。能导出≥6种报告格式，方便不同应用场景的数据传输。</w:t>
      </w:r>
      <w:r/>
    </w:p>
    <w:p>
      <w:pPr>
        <w:pStyle w:val="966"/>
      </w:pPr>
      <w:r>
        <w:rPr>
          <w:rFonts w:hint="eastAsia"/>
        </w:rPr>
        <w:t xml:space="preserve">2.6.3.7设备支持向智能实验室中控系统开放标准通信协议，可实现系统对设备的集中控制调度以及设备数据的自动上传。</w:t>
      </w:r>
      <w:r/>
    </w:p>
    <w:p>
      <w:pPr>
        <w:pStyle w:val="966"/>
      </w:pPr>
      <w:r>
        <w:rPr>
          <w:rFonts w:hint="eastAsia"/>
        </w:rPr>
        <w:t xml:space="preserve">2.6.4.指标要求</w:t>
      </w:r>
      <w:r/>
    </w:p>
    <w:p>
      <w:pPr>
        <w:pStyle w:val="966"/>
      </w:pPr>
      <w:r>
        <w:rPr>
          <w:rFonts w:hint="eastAsia"/>
        </w:rPr>
        <w:t xml:space="preserve">2.6.4.1. 挥发酚</w:t>
      </w:r>
      <w:r/>
    </w:p>
    <w:p>
      <w:pPr>
        <w:pStyle w:val="966"/>
      </w:pPr>
      <w:r>
        <w:rPr>
          <w:rFonts w:hint="eastAsia"/>
        </w:rPr>
        <w:t xml:space="preserve">2.6.4.1. 1.方法原理：在线蒸馏4-氨基安替比林光度法；</w:t>
      </w:r>
      <w:r/>
    </w:p>
    <w:p>
      <w:pPr>
        <w:pStyle w:val="966"/>
      </w:pPr>
      <w:r>
        <w:rPr>
          <w:rFonts w:hint="eastAsia"/>
        </w:rPr>
        <w:t xml:space="preserve">2.6.4.1. 2.主机组件：膜分离在线蒸馏装置，内置式电子冷凝装置，水平流路面板，倾斜安装流通池；</w:t>
      </w:r>
      <w:r/>
    </w:p>
    <w:p>
      <w:pPr>
        <w:pStyle w:val="966"/>
      </w:pPr>
      <w:r>
        <w:rPr>
          <w:rFonts w:hint="eastAsia"/>
        </w:rPr>
        <w:t xml:space="preserve">2.6.4.1. 3.检测范围：0.002-0.2mg/L；</w:t>
      </w:r>
      <w:r/>
    </w:p>
    <w:p>
      <w:pPr>
        <w:pStyle w:val="966"/>
      </w:pPr>
      <w:r>
        <w:rPr>
          <w:rFonts w:hint="eastAsia"/>
        </w:rPr>
        <w:t xml:space="preserve">2.6.4.1. 4.检出限：0.0003mg/L；</w:t>
      </w:r>
      <w:r/>
    </w:p>
    <w:p>
      <w:pPr>
        <w:pStyle w:val="966"/>
      </w:pPr>
      <w:r>
        <w:rPr>
          <w:rFonts w:hint="eastAsia"/>
        </w:rPr>
        <w:t xml:space="preserve">2.6.4.1. 5.精确度：≤1%；</w:t>
      </w:r>
      <w:r/>
    </w:p>
    <w:p>
      <w:pPr>
        <w:pStyle w:val="966"/>
      </w:pPr>
      <w:r>
        <w:rPr>
          <w:rFonts w:hint="eastAsia"/>
        </w:rPr>
        <w:t xml:space="preserve">2.6.4.1. 6.测试效率：18个/h。</w:t>
      </w:r>
      <w:r/>
    </w:p>
    <w:p>
      <w:pPr>
        <w:pStyle w:val="966"/>
      </w:pPr>
      <w:r>
        <w:rPr>
          <w:rFonts w:hint="eastAsia"/>
        </w:rPr>
        <w:t xml:space="preserve">2.6.4.2. 氰化物</w:t>
      </w:r>
      <w:r/>
    </w:p>
    <w:p>
      <w:pPr>
        <w:pStyle w:val="966"/>
      </w:pPr>
      <w:r>
        <w:rPr>
          <w:rFonts w:hint="eastAsia"/>
        </w:rPr>
        <w:t xml:space="preserve">2.6.4.2.1.方法原理：在线蒸馏异烟酸-巴比妥酸光度法；</w:t>
      </w:r>
      <w:r/>
    </w:p>
    <w:p>
      <w:pPr>
        <w:pStyle w:val="966"/>
      </w:pPr>
      <w:r>
        <w:rPr>
          <w:rFonts w:hint="eastAsia"/>
        </w:rPr>
        <w:t xml:space="preserve">2.6.4.2.2.主机组件：膜分离在线蒸馏装置，在线消解模块，水平流路面板，倾斜安装流通池；</w:t>
      </w:r>
      <w:r/>
    </w:p>
    <w:p>
      <w:pPr>
        <w:pStyle w:val="966"/>
      </w:pPr>
      <w:r>
        <w:rPr>
          <w:rFonts w:hint="eastAsia"/>
        </w:rPr>
        <w:t xml:space="preserve">2.6.4.2.3.检测范围：0.002-0.1mg/L；</w:t>
      </w:r>
      <w:r/>
    </w:p>
    <w:p>
      <w:pPr>
        <w:pStyle w:val="966"/>
      </w:pPr>
      <w:r>
        <w:rPr>
          <w:rFonts w:hint="eastAsia"/>
        </w:rPr>
        <w:t xml:space="preserve">2.6.4.2.4.检出限：0.0005mg/L；</w:t>
      </w:r>
      <w:r/>
    </w:p>
    <w:p>
      <w:pPr>
        <w:pStyle w:val="966"/>
      </w:pPr>
      <w:r>
        <w:rPr>
          <w:rFonts w:hint="eastAsia"/>
        </w:rPr>
        <w:t xml:space="preserve">2.6.4.2.5.精确度：≤1%；</w:t>
      </w:r>
      <w:r/>
    </w:p>
    <w:p>
      <w:pPr>
        <w:pStyle w:val="966"/>
      </w:pPr>
      <w:r>
        <w:rPr>
          <w:rFonts w:hint="eastAsia"/>
        </w:rPr>
        <w:t xml:space="preserve">2.6.4.2.6.测试效率：16个/h。</w:t>
      </w:r>
      <w:r/>
    </w:p>
    <w:p>
      <w:pPr>
        <w:pStyle w:val="966"/>
      </w:pPr>
      <w:r>
        <w:rPr>
          <w:rFonts w:hint="eastAsia"/>
        </w:rPr>
        <w:t xml:space="preserve">2.6.4.3. 阴离子表面活性剂</w:t>
      </w:r>
      <w:r/>
    </w:p>
    <w:p>
      <w:pPr>
        <w:pStyle w:val="966"/>
      </w:pPr>
      <w:r>
        <w:rPr>
          <w:rFonts w:hint="eastAsia"/>
        </w:rPr>
        <w:t xml:space="preserve">2.6.4.3.1.方法原理：在线萃取亚甲基蓝光度法；</w:t>
      </w:r>
      <w:r/>
    </w:p>
    <w:p>
      <w:pPr>
        <w:pStyle w:val="966"/>
      </w:pPr>
      <w:r>
        <w:rPr>
          <w:rFonts w:hint="eastAsia"/>
        </w:rPr>
        <w:t xml:space="preserve">2.6.4.3.2.主机组件：两套在线膜萃取分离装置，水平流路面板，倾斜安装流通池；</w:t>
      </w:r>
      <w:r/>
    </w:p>
    <w:p>
      <w:pPr>
        <w:pStyle w:val="966"/>
      </w:pPr>
      <w:r>
        <w:rPr>
          <w:rFonts w:hint="eastAsia"/>
        </w:rPr>
        <w:t xml:space="preserve">2.6.4.3.3.检测范围：0.025-2mg/L；</w:t>
      </w:r>
      <w:r/>
    </w:p>
    <w:p>
      <w:pPr>
        <w:pStyle w:val="966"/>
      </w:pPr>
      <w:r>
        <w:rPr>
          <w:rFonts w:hint="eastAsia"/>
        </w:rPr>
        <w:t xml:space="preserve">2.6.4.3.4.检出限：0.01mg/L；</w:t>
      </w:r>
      <w:r/>
    </w:p>
    <w:p>
      <w:pPr>
        <w:pStyle w:val="966"/>
      </w:pPr>
      <w:r>
        <w:rPr>
          <w:rFonts w:hint="eastAsia"/>
        </w:rPr>
        <w:t xml:space="preserve">2.6.4.3.5.精确度：≤2%；</w:t>
      </w:r>
      <w:r/>
    </w:p>
    <w:p>
      <w:pPr>
        <w:pStyle w:val="966"/>
      </w:pPr>
      <w:r>
        <w:rPr>
          <w:rFonts w:hint="eastAsia"/>
        </w:rPr>
        <w:t xml:space="preserve">2.6.4.3.6.测试效率：18个/h。</w:t>
      </w:r>
      <w:r/>
    </w:p>
    <w:p>
      <w:pPr>
        <w:pStyle w:val="966"/>
      </w:pPr>
      <w:r>
        <w:rPr>
          <w:rFonts w:hint="eastAsia"/>
        </w:rPr>
        <w:t xml:space="preserve">2.6.4.4. 可溶性硫化物</w:t>
      </w:r>
      <w:r/>
    </w:p>
    <w:p>
      <w:pPr>
        <w:pStyle w:val="966"/>
      </w:pPr>
      <w:r>
        <w:rPr>
          <w:rFonts w:hint="eastAsia"/>
        </w:rPr>
        <w:t xml:space="preserve">2.6.4.4.1.方法原理：亚甲基蓝光度法；</w:t>
      </w:r>
      <w:r/>
    </w:p>
    <w:p>
      <w:pPr>
        <w:pStyle w:val="966"/>
      </w:pPr>
      <w:r>
        <w:rPr>
          <w:rFonts w:hint="eastAsia"/>
        </w:rPr>
        <w:t xml:space="preserve">2.6.4.4.2.主机组件：膜分离在线蒸馏装置，水平流路面板，倾斜安装流通池；</w:t>
      </w:r>
      <w:r/>
    </w:p>
    <w:p>
      <w:pPr>
        <w:pStyle w:val="966"/>
      </w:pPr>
      <w:r>
        <w:rPr>
          <w:rFonts w:hint="eastAsia"/>
        </w:rPr>
        <w:t xml:space="preserve">2.6.4.4.3.检测范围：0.016-2mg/L；</w:t>
      </w:r>
      <w:r/>
    </w:p>
    <w:p>
      <w:pPr>
        <w:pStyle w:val="966"/>
      </w:pPr>
      <w:r>
        <w:rPr>
          <w:rFonts w:hint="eastAsia"/>
        </w:rPr>
        <w:t xml:space="preserve">2.6.4.4.4.检出限：0.004mg/L；</w:t>
      </w:r>
      <w:r/>
    </w:p>
    <w:p>
      <w:pPr>
        <w:pStyle w:val="966"/>
      </w:pPr>
      <w:r>
        <w:rPr>
          <w:rFonts w:hint="eastAsia"/>
        </w:rPr>
        <w:t xml:space="preserve">2.6.4.4.5.精确度：≤2%；</w:t>
      </w:r>
      <w:r/>
    </w:p>
    <w:p>
      <w:pPr>
        <w:pStyle w:val="966"/>
      </w:pPr>
      <w:r>
        <w:rPr>
          <w:rFonts w:hint="eastAsia"/>
        </w:rPr>
        <w:t xml:space="preserve">2.6.4.4.6.测试效率：15个/h。</w:t>
      </w:r>
      <w:r/>
    </w:p>
    <w:p>
      <w:pPr>
        <w:pStyle w:val="966"/>
      </w:pPr>
      <w:r>
        <w:rPr>
          <w:rFonts w:hint="eastAsia"/>
        </w:rPr>
        <w:t xml:space="preserve">2.6.5.配置要求</w:t>
      </w:r>
      <w:r/>
    </w:p>
    <w:p>
      <w:pPr>
        <w:pStyle w:val="966"/>
      </w:pPr>
      <w:r>
        <w:rPr>
          <w:rFonts w:hint="eastAsia"/>
        </w:rPr>
        <w:t xml:space="preserve">挥发酚、氰化物、阴离子表面活性剂、硫化物的单独分析模块各1套，自动进样器4套，试剂启动运维包4套，工作站软件4套，在线脱气装置3套，在线负压脱气装置1套，纯水与废液桶 2套、操作手册工具箱1套、触摸屏1套、数据处理软件1套。</w:t>
      </w:r>
      <w:r/>
    </w:p>
    <w:p>
      <w:pPr>
        <w:pStyle w:val="966"/>
        <w:rPr>
          <w:b/>
          <w:bCs/>
        </w:rPr>
      </w:pPr>
      <w:r>
        <w:rPr>
          <w:rFonts w:hint="eastAsia"/>
          <w:b/>
          <w:bCs/>
        </w:rPr>
        <w:t xml:space="preserve">2.7.全自动六价铬分析单元</w:t>
      </w:r>
      <w:r/>
    </w:p>
    <w:p>
      <w:pPr>
        <w:pStyle w:val="966"/>
      </w:pPr>
      <w:r>
        <w:rPr>
          <w:rFonts w:hint="eastAsia"/>
        </w:rPr>
        <w:t xml:space="preserve">2.7.1.用途要求</w:t>
      </w:r>
      <w:r/>
    </w:p>
    <w:p>
      <w:pPr>
        <w:pStyle w:val="966"/>
      </w:pPr>
      <w:r>
        <w:rPr>
          <w:rFonts w:hint="eastAsia"/>
        </w:rPr>
        <w:t xml:space="preserve">用于地表水中六价铬指标的实验室全自动化检测。</w:t>
      </w:r>
      <w:r/>
    </w:p>
    <w:p>
      <w:pPr>
        <w:pStyle w:val="966"/>
        <w:rPr>
          <w:i/>
          <w:iCs/>
          <w:u w:val="single"/>
        </w:rPr>
      </w:pPr>
      <w:r>
        <w:rPr>
          <w:rFonts w:hint="eastAsia"/>
          <w:i/>
          <w:iCs/>
          <w:u w:val="single"/>
        </w:rPr>
        <w:t xml:space="preserve">2.7.2.</w:t>
      </w:r>
      <w:r>
        <w:rPr>
          <w:rFonts w:hint="eastAsia"/>
          <w:i/>
          <w:iCs/>
          <w:u w:val="single"/>
          <w:lang w:val="en-US" w:eastAsia="zh-CN"/>
        </w:rPr>
        <w:t xml:space="preserve">符合的标准</w:t>
      </w:r>
      <w:r>
        <w:rPr>
          <w:rFonts w:hint="eastAsia"/>
          <w:i/>
          <w:iCs/>
          <w:u w:val="single"/>
        </w:rPr>
        <w:t xml:space="preserve">要求</w:t>
      </w:r>
      <w:r/>
    </w:p>
    <w:p>
      <w:pPr>
        <w:pStyle w:val="966"/>
        <w:rPr>
          <w:i/>
          <w:iCs/>
          <w:u w:val="single"/>
        </w:rPr>
      </w:pPr>
      <w:r>
        <w:rPr>
          <w:rFonts w:hint="eastAsia"/>
          <w:i/>
          <w:iCs/>
          <w:u w:val="single"/>
        </w:rPr>
        <w:t xml:space="preserve">遵循标准《水质六价铬的测定二苯碳酰二肼分光光度法》（GB 7467-1987）规定方法设计。</w:t>
      </w:r>
      <w:r/>
    </w:p>
    <w:p>
      <w:pPr>
        <w:pStyle w:val="966"/>
      </w:pPr>
      <w:r>
        <w:rPr>
          <w:rFonts w:hint="eastAsia"/>
        </w:rPr>
        <w:t xml:space="preserve">2.7.3.技术要求</w:t>
      </w:r>
      <w:r/>
    </w:p>
    <w:p>
      <w:pPr>
        <w:pStyle w:val="966"/>
      </w:pPr>
      <w:r>
        <w:rPr>
          <w:rFonts w:hint="eastAsia"/>
        </w:rPr>
        <w:t xml:space="preserve">2.7.3.1全自动独立完成国标规定检测工作：样品预处理、加试剂、显色、检测、清洗、数据处理等实验步骤由仪器全自动完成，分析方法完全符合国家标准方法.</w:t>
      </w:r>
      <w:r/>
    </w:p>
    <w:p>
      <w:pPr>
        <w:pStyle w:val="966"/>
      </w:pPr>
      <w:r>
        <w:rPr>
          <w:rFonts w:hint="eastAsia"/>
        </w:rPr>
        <w:t xml:space="preserve">2.7.3.2结构一体化设计：仪器有锌盐沉淀过滤模块，可有效去除色度、浊度干扰；并与样品盘、检测模块、主机一体化集成设计，非管路式连接设备。</w:t>
      </w:r>
      <w:r/>
    </w:p>
    <w:p>
      <w:pPr>
        <w:pStyle w:val="966"/>
      </w:pPr>
      <w:r>
        <w:rPr>
          <w:rFonts w:hint="eastAsia"/>
        </w:rPr>
        <w:t xml:space="preserve">▲2.7.3.3可配置外置式一次性过滤器进行样品锌盐沉淀后过滤，一批次可放置过滤器不少于40个。过滤器可自动更换，避免交叉污染，确保数据准确。</w:t>
      </w:r>
      <w:r>
        <w:rPr>
          <w:rFonts w:hint="eastAsia"/>
          <w:b/>
          <w:bCs/>
        </w:rPr>
        <w:t xml:space="preserve">（提供放置过滤器的产品整机清晰实物图片以及自动更换一次性过滤器视频截图证明并加盖投标人公章）</w:t>
      </w:r>
      <w:r/>
    </w:p>
    <w:p>
      <w:pPr>
        <w:pStyle w:val="966"/>
      </w:pPr>
      <w:r>
        <w:rPr>
          <w:rFonts w:hint="eastAsia"/>
        </w:rPr>
        <w:t xml:space="preserve">2.7.3.4.样品流转：</w:t>
      </w:r>
      <w:r/>
    </w:p>
    <w:p>
      <w:pPr>
        <w:pStyle w:val="966"/>
      </w:pPr>
      <w:r>
        <w:rPr>
          <w:rFonts w:hint="eastAsia"/>
        </w:rPr>
        <w:t xml:space="preserve">2.7.3.4.1.可移动抽屉式样品盘，非圆盘模式，方便整盘转移样品管，可实现样品不间断连续分析；</w:t>
      </w:r>
      <w:r/>
    </w:p>
    <w:p>
      <w:pPr>
        <w:pStyle w:val="966"/>
      </w:pPr>
      <w:r>
        <w:rPr>
          <w:rFonts w:hint="eastAsia"/>
        </w:rPr>
        <w:t xml:space="preserve">2.7.3.4.2.采用智能三维机械臂，实现全自动加入化学试剂，安全高效。 </w:t>
      </w:r>
      <w:r/>
    </w:p>
    <w:p>
      <w:pPr>
        <w:pStyle w:val="966"/>
      </w:pPr>
      <w:r>
        <w:rPr>
          <w:rFonts w:hint="eastAsia"/>
        </w:rPr>
        <w:t xml:space="preserve">2.7.3.5.检测系统：</w:t>
      </w:r>
      <w:r/>
    </w:p>
    <w:p>
      <w:pPr>
        <w:pStyle w:val="966"/>
      </w:pPr>
      <w:r>
        <w:rPr>
          <w:rFonts w:hint="eastAsia"/>
        </w:rPr>
        <w:t xml:space="preserve">2.7.3.5.1.试剂并行注入：不采用多通道选向阀进行流路切换，不同试剂有独立的管路、泵、阀，避免试剂间的交叉污染；</w:t>
      </w:r>
      <w:r/>
    </w:p>
    <w:p>
      <w:pPr>
        <w:pStyle w:val="966"/>
      </w:pPr>
      <w:r>
        <w:rPr>
          <w:rFonts w:hint="eastAsia"/>
        </w:rPr>
        <w:t xml:space="preserve">2.7.3.5.2.试剂余量监控：具有氢氧化钠、硫酸锌、酸溶液、显色剂的试剂余量实时监控功能；</w:t>
      </w:r>
      <w:r/>
    </w:p>
    <w:p>
      <w:pPr>
        <w:pStyle w:val="966"/>
      </w:pPr>
      <w:r>
        <w:rPr>
          <w:rFonts w:hint="eastAsia"/>
        </w:rPr>
        <w:t xml:space="preserve">2.7.3.5.3.全光谱光度检测模块； </w:t>
      </w:r>
      <w:r/>
    </w:p>
    <w:p>
      <w:pPr>
        <w:pStyle w:val="966"/>
      </w:pPr>
      <w:r>
        <w:rPr>
          <w:rFonts w:hint="eastAsia"/>
        </w:rPr>
        <w:t xml:space="preserve">2.7.3.5.4.电脑联机操控，非主机镶嵌或悬挂式触控屏幕模式干扰，可自由编辑序列和样品类型。</w:t>
      </w:r>
      <w:r/>
    </w:p>
    <w:p>
      <w:pPr>
        <w:pStyle w:val="966"/>
      </w:pPr>
      <w:r>
        <w:rPr>
          <w:rFonts w:hint="eastAsia"/>
        </w:rPr>
        <w:t xml:space="preserve">2.7.3.6急样添加：运行中支持紧急样品随时添加、优先检测，无需停机或暂停； </w:t>
      </w:r>
      <w:r/>
    </w:p>
    <w:p>
      <w:pPr>
        <w:pStyle w:val="966"/>
      </w:pPr>
      <w:r>
        <w:rPr>
          <w:rFonts w:hint="eastAsia"/>
        </w:rPr>
        <w:t xml:space="preserve">2.7.3.7设备支持向智能实验室中控系统开放标准通信协议，可实现系统对设备的集中控制调度以及设备数据的自动上传。</w:t>
      </w:r>
      <w:r/>
    </w:p>
    <w:p>
      <w:pPr>
        <w:pStyle w:val="966"/>
      </w:pPr>
      <w:r>
        <w:rPr>
          <w:rFonts w:hint="eastAsia"/>
        </w:rPr>
        <w:t xml:space="preserve">2.7.4.指标要求</w:t>
      </w:r>
      <w:r/>
    </w:p>
    <w:p>
      <w:pPr>
        <w:pStyle w:val="966"/>
      </w:pPr>
      <w:r>
        <w:rPr>
          <w:rFonts w:hint="eastAsia"/>
        </w:rPr>
        <w:t xml:space="preserve">2.7.4.1.测定范围：光程10mm时，测定范围为(0～1.0) mg/L；光程30mm时，测定范围为(0～0.2) mg/L（不稀释，取样量100 mL)；</w:t>
      </w:r>
      <w:r/>
    </w:p>
    <w:p>
      <w:pPr>
        <w:pStyle w:val="966"/>
      </w:pPr>
      <w:r>
        <w:rPr>
          <w:rFonts w:hint="eastAsia"/>
        </w:rPr>
        <w:t xml:space="preserve">2.7.4.2.精密度：RSD&lt;3.0%（0.1 mg/L）；</w:t>
      </w:r>
      <w:r/>
    </w:p>
    <w:p>
      <w:pPr>
        <w:pStyle w:val="966"/>
      </w:pPr>
      <w:r>
        <w:rPr>
          <w:rFonts w:hint="eastAsia"/>
        </w:rPr>
        <w:t xml:space="preserve">2.7.4.3.检出限：＜0.004 mg/L。</w:t>
      </w:r>
      <w:r/>
    </w:p>
    <w:p>
      <w:pPr>
        <w:pStyle w:val="966"/>
      </w:pPr>
      <w:r>
        <w:rPr>
          <w:rFonts w:hint="eastAsia"/>
        </w:rPr>
        <w:t xml:space="preserve">2.7.5.配置清单</w:t>
      </w:r>
      <w:r/>
    </w:p>
    <w:p>
      <w:pPr>
        <w:pStyle w:val="966"/>
      </w:pPr>
      <w:r>
        <w:rPr>
          <w:rFonts w:hint="eastAsia"/>
        </w:rPr>
        <w:t xml:space="preserve">全自动六价铬分析仪1套、可移动样品盘1套、样品管1套、安装调试用检测试剂包1套、纯水与废液桶1套、电源线与通讯线1套、安装工具1套、用户手册1套、触摸屏1套、数据处理软件1套。</w:t>
      </w:r>
      <w:r/>
    </w:p>
    <w:p>
      <w:pPr>
        <w:pStyle w:val="966"/>
        <w:rPr>
          <w:b/>
          <w:bCs/>
        </w:rPr>
      </w:pPr>
      <w:r>
        <w:rPr>
          <w:rFonts w:hint="eastAsia"/>
          <w:b/>
          <w:bCs/>
        </w:rPr>
        <w:t xml:space="preserve">2.8.全自动原子荧光分析单元</w:t>
      </w:r>
      <w:r/>
    </w:p>
    <w:p>
      <w:pPr>
        <w:pStyle w:val="966"/>
      </w:pPr>
      <w:r>
        <w:rPr>
          <w:rFonts w:hint="eastAsia"/>
        </w:rPr>
        <w:t xml:space="preserve">2.8.1.用途要求</w:t>
      </w:r>
      <w:r/>
    </w:p>
    <w:p>
      <w:pPr>
        <w:pStyle w:val="966"/>
      </w:pPr>
      <w:r>
        <w:rPr>
          <w:rFonts w:hint="eastAsia"/>
        </w:rPr>
        <w:t xml:space="preserve">用于地表水中重金属汞元素的检测。</w:t>
      </w:r>
      <w:r/>
    </w:p>
    <w:p>
      <w:pPr>
        <w:pStyle w:val="966"/>
      </w:pPr>
      <w:r>
        <w:rPr>
          <w:rFonts w:hint="eastAsia"/>
        </w:rPr>
        <w:t xml:space="preserve">2.8.2.技术要求</w:t>
      </w:r>
      <w:r/>
    </w:p>
    <w:p>
      <w:pPr>
        <w:pStyle w:val="966"/>
      </w:pPr>
      <w:r>
        <w:rPr>
          <w:rFonts w:hint="eastAsia"/>
        </w:rPr>
        <w:t xml:space="preserve">2.8.2.1. 进样系统</w:t>
      </w:r>
      <w:r/>
    </w:p>
    <w:p>
      <w:pPr>
        <w:pStyle w:val="966"/>
      </w:pPr>
      <w:r>
        <w:rPr>
          <w:rFonts w:hint="eastAsia"/>
        </w:rPr>
        <w:t xml:space="preserve">2.8.2.1.1.主机内置至少两个注射泵和一个蠕动泵结构，以支持三种进样模式：</w:t>
      </w:r>
      <w:r/>
    </w:p>
    <w:p>
      <w:pPr>
        <w:pStyle w:val="966"/>
      </w:pPr>
      <w:r>
        <w:rPr>
          <w:rFonts w:hint="eastAsia"/>
        </w:rPr>
        <w:t xml:space="preserve">① 双路顺序注射泵进样模式，即还原剂和样品均采用高精度注射泵，保证检测精度及稳定性，可灵活调节样品和还原剂体积；</w:t>
      </w:r>
      <w:r/>
    </w:p>
    <w:p>
      <w:pPr>
        <w:pStyle w:val="966"/>
      </w:pPr>
      <w:r>
        <w:rPr>
          <w:rFonts w:hint="eastAsia"/>
        </w:rPr>
        <w:t xml:space="preserve">② 单蠕动泵进样模式，间歇泵满环进样，可实现快速检测，可升级大体积（～3mL）进样，进一步提高响应值；</w:t>
      </w:r>
      <w:r/>
    </w:p>
    <w:p>
      <w:pPr>
        <w:pStyle w:val="966"/>
      </w:pPr>
      <w:r>
        <w:rPr>
          <w:rFonts w:hint="eastAsia"/>
        </w:rPr>
        <w:t xml:space="preserve">③ 单注射泵+蠕动泵进样模式，样品采用高精度注射泵进样，还原剂采用蠕动泵系统，无需柱塞泵，提高系统可靠性； </w:t>
      </w:r>
      <w:r/>
    </w:p>
    <w:p>
      <w:pPr>
        <w:pStyle w:val="966"/>
      </w:pPr>
      <w:r>
        <w:rPr>
          <w:rFonts w:hint="eastAsia"/>
        </w:rPr>
        <w:t xml:space="preserve">2.8.2.1.2.注射泵采用高精度微升级泵体，运动行程大于60mm，两级减速结构设计，保证微升级取样精度，重复性精度优于0.05%；</w:t>
      </w:r>
      <w:r>
        <w:t xml:space="preserve"> </w:t>
      </w:r>
      <w:r/>
    </w:p>
    <w:p>
      <w:pPr>
        <w:pStyle w:val="966"/>
      </w:pPr>
      <w:r>
        <w:rPr>
          <w:rFonts w:hint="eastAsia"/>
        </w:rPr>
        <w:t xml:space="preserve">2.8.2.1.3.内置一体式蠕动泵进样并实时主动排废，六滚轴、小泵头、整体压块式设计，泵速：0-200r/min连续可调，同步完成补载流操作；</w:t>
      </w:r>
      <w:r>
        <w:t xml:space="preserve"> </w:t>
      </w:r>
      <w:r/>
    </w:p>
    <w:p>
      <w:pPr>
        <w:pStyle w:val="966"/>
      </w:pPr>
      <w:r>
        <w:rPr>
          <w:rFonts w:hint="eastAsia"/>
        </w:rPr>
        <w:t xml:space="preserve">2.8.2.1.4.采用高细分电机控制系统和定量环过量进样方式相结合，降低蠕动泵脉动带来的干扰；</w:t>
      </w:r>
      <w:r/>
    </w:p>
    <w:p>
      <w:pPr>
        <w:pStyle w:val="966"/>
      </w:pPr>
      <w:r>
        <w:rPr>
          <w:rFonts w:hint="eastAsia"/>
        </w:rPr>
        <w:t xml:space="preserve">2.8.2.1.5.支持样品快速检测，检测周期＜30s；</w:t>
      </w:r>
      <w:r/>
    </w:p>
    <w:p>
      <w:pPr>
        <w:pStyle w:val="966"/>
      </w:pPr>
      <w:r>
        <w:rPr>
          <w:rFonts w:hint="eastAsia"/>
        </w:rPr>
        <w:t xml:space="preserve">2.8.2.2. 光学系统</w:t>
      </w:r>
      <w:r/>
    </w:p>
    <w:p>
      <w:pPr>
        <w:pStyle w:val="966"/>
      </w:pPr>
      <w:r>
        <w:rPr>
          <w:rFonts w:hint="eastAsia"/>
        </w:rPr>
        <w:t xml:space="preserve">2.8.2.2.1.双通道短焦距透镜聚光，无色散全密闭避光调光系统，日盲型光电倍增管检测；</w:t>
      </w:r>
      <w:r/>
    </w:p>
    <w:p>
      <w:pPr>
        <w:pStyle w:val="966"/>
      </w:pPr>
      <w:r>
        <w:rPr>
          <w:rFonts w:hint="eastAsia"/>
        </w:rPr>
        <w:t xml:space="preserve">2.8.2.2.2.采用平面扇形光路设计，元素灯与检测器处于同一水平面内，各通道元素灯与检测器均为45°，夹角一致，保证道间一致性。</w:t>
      </w:r>
      <w:r/>
    </w:p>
    <w:p>
      <w:pPr>
        <w:pStyle w:val="966"/>
      </w:pPr>
      <w:r>
        <w:rPr>
          <w:rFonts w:hint="eastAsia"/>
        </w:rPr>
        <w:t xml:space="preserve">2.8.2.2.3.具备氩氢火焰直接观察窗，可直观对火焰状态实时进行观察，避免其它观测方式因出现故障而无法对火焰状态进行监控的问题；</w:t>
      </w:r>
      <w:r/>
    </w:p>
    <w:p>
      <w:pPr>
        <w:pStyle w:val="966"/>
      </w:pPr>
      <w:r>
        <w:rPr>
          <w:rFonts w:hint="eastAsia"/>
        </w:rPr>
        <w:t xml:space="preserve">2.8.2.3. 光源</w:t>
      </w:r>
      <w:r/>
    </w:p>
    <w:p>
      <w:pPr>
        <w:pStyle w:val="966"/>
      </w:pPr>
      <w:r>
        <w:rPr>
          <w:rFonts w:hint="eastAsia"/>
        </w:rPr>
        <w:t xml:space="preserve">2.8.2.3.1.智能空心阴极灯，即插即用，无需调节光斑，内置存储芯片，自动识别元素类型，支持元素灯使用计时；</w:t>
      </w:r>
      <w:r/>
    </w:p>
    <w:p>
      <w:pPr>
        <w:pStyle w:val="966"/>
      </w:pPr>
      <w:r>
        <w:rPr>
          <w:rFonts w:hint="eastAsia"/>
        </w:rPr>
        <w:t xml:space="preserve">2.8.2.3.2.采用集束脉冲供电方式，与单脉冲供电方式相比，灵敏度、信噪比大幅度提高及改善；空心阴极灯使用寿命延长；</w:t>
      </w:r>
      <w:r/>
    </w:p>
    <w:p>
      <w:pPr>
        <w:pStyle w:val="966"/>
      </w:pPr>
      <w:r>
        <w:rPr>
          <w:rFonts w:hint="eastAsia"/>
        </w:rPr>
        <w:t xml:space="preserve">2.8.2.3.3.元素灯便捷更换功能，无需拆卸烟囱即可打开光室进行元素灯的快捷更换，操作简单，减少烫伤风险；元素灯支持带电插拔。</w:t>
      </w:r>
      <w:r/>
    </w:p>
    <w:p>
      <w:pPr>
        <w:pStyle w:val="966"/>
      </w:pPr>
      <w:r>
        <w:rPr>
          <w:rFonts w:hint="eastAsia"/>
        </w:rPr>
        <w:t xml:space="preserve">2.8.2.3.4.具备信号增强功能，适用于痕量样品分析，提高检出性能；信号增强不限元素和通道。</w:t>
      </w:r>
      <w:r/>
    </w:p>
    <w:p>
      <w:pPr>
        <w:pStyle w:val="966"/>
      </w:pPr>
      <w:r>
        <w:rPr>
          <w:rFonts w:hint="eastAsia"/>
        </w:rPr>
        <w:t xml:space="preserve">2.8.2.4.</w:t>
      </w:r>
      <w:r>
        <w:rPr>
          <w:rFonts w:hint="eastAsia"/>
        </w:rPr>
        <w:tab/>
      </w:r>
      <w:r>
        <w:rPr>
          <w:rFonts w:hint="eastAsia"/>
        </w:rPr>
        <w:t xml:space="preserve">氢化物反应系统</w:t>
      </w:r>
      <w:r/>
    </w:p>
    <w:p>
      <w:pPr>
        <w:pStyle w:val="966"/>
      </w:pPr>
      <w:r>
        <w:rPr>
          <w:rFonts w:hint="eastAsia"/>
        </w:rPr>
        <w:t xml:space="preserve">2.8.2.4.1.</w:t>
      </w:r>
      <w:r>
        <w:rPr>
          <w:rFonts w:hint="eastAsia"/>
        </w:rPr>
        <w:tab/>
      </w:r>
      <w:r>
        <w:rPr>
          <w:rFonts w:hint="eastAsia"/>
        </w:rPr>
        <w:t xml:space="preserve">屏蔽式低温点火石英炉原子化器，减小荧光淬灭，提高仪器稳定性；可针对不同元素测量进行原子化器高度适应性调节，以达到元素最佳分析条件。</w:t>
      </w:r>
      <w:r/>
    </w:p>
    <w:p>
      <w:pPr>
        <w:pStyle w:val="966"/>
      </w:pPr>
      <w:r>
        <w:rPr>
          <w:rFonts w:hint="eastAsia"/>
        </w:rPr>
        <w:t xml:space="preserve">2.8.2.4.</w:t>
      </w:r>
      <w:r>
        <w:rPr>
          <w:rFonts w:hint="eastAsia"/>
        </w:rPr>
        <w:tab/>
      </w:r>
      <w:r>
        <w:rPr>
          <w:rFonts w:hint="eastAsia"/>
        </w:rPr>
        <w:t xml:space="preserve">2.仅需载气和辅助气即可正常运行，耗气量不大于1200mL/min，无需额外气体消耗；</w:t>
      </w:r>
      <w:r/>
    </w:p>
    <w:p>
      <w:pPr>
        <w:pStyle w:val="966"/>
      </w:pPr>
      <w:r>
        <w:rPr>
          <w:rFonts w:hint="eastAsia"/>
        </w:rPr>
        <w:t xml:space="preserve">2.8.2.4.3.采用电压可调智能供电点火系统，维持连续点火状态，氩氢火焰更稳定，彻底避免电打火等间歇式点火方式受温度、湿度、空气含氧量等因素影响而导致的点火失败问题；具备炉丝电流回读监测功能，点火状态全掌握；</w:t>
      </w:r>
      <w:r>
        <w:t xml:space="preserve"> </w:t>
      </w:r>
      <w:r/>
    </w:p>
    <w:p>
      <w:pPr>
        <w:pStyle w:val="966"/>
      </w:pPr>
      <w:r>
        <w:rPr>
          <w:rFonts w:hint="eastAsia"/>
        </w:rPr>
        <w:t xml:space="preserve">2.8.2.4.4.</w:t>
      </w:r>
      <w:r>
        <w:rPr>
          <w:rFonts w:hint="eastAsia"/>
        </w:rPr>
        <w:tab/>
      </w:r>
      <w:r>
        <w:rPr>
          <w:rFonts w:hint="eastAsia"/>
        </w:rPr>
        <w:t xml:space="preserve">具备两级气液分离器结构，高效气液分离，无需三级除水；二级气液分离器采用旋切分离原理，免加水，具备排废口；</w:t>
      </w:r>
      <w:r>
        <w:t xml:space="preserve"> </w:t>
      </w:r>
      <w:r/>
    </w:p>
    <w:p>
      <w:pPr>
        <w:pStyle w:val="966"/>
      </w:pPr>
      <w:r>
        <w:rPr>
          <w:rFonts w:hint="eastAsia"/>
        </w:rPr>
        <w:t xml:space="preserve">2.8.2.5. 气路系统</w:t>
      </w:r>
      <w:r/>
    </w:p>
    <w:p>
      <w:pPr>
        <w:pStyle w:val="966"/>
      </w:pPr>
      <w:r>
        <w:rPr>
          <w:rFonts w:hint="eastAsia"/>
        </w:rPr>
        <w:t xml:space="preserve">2.8.2.5.1.采用阀岛阵列式结构，恒压力控制模式，自动精确控制载气和屏蔽气双路流量，具有低压报警功能；</w:t>
      </w:r>
      <w:r/>
    </w:p>
    <w:p>
      <w:pPr>
        <w:pStyle w:val="966"/>
      </w:pPr>
      <w:r>
        <w:rPr>
          <w:rFonts w:hint="eastAsia"/>
        </w:rPr>
        <w:t xml:space="preserve">2.8.2.5.2.具备低消耗运行模式，待机时可有效节约氩气1000mL/min；</w:t>
      </w:r>
      <w:r/>
    </w:p>
    <w:p>
      <w:pPr>
        <w:pStyle w:val="966"/>
      </w:pPr>
      <w:r>
        <w:rPr>
          <w:rFonts w:hint="eastAsia"/>
        </w:rPr>
        <w:t xml:space="preserve">2.8.2.6.监测系统</w:t>
      </w:r>
      <w:r/>
    </w:p>
    <w:p>
      <w:pPr>
        <w:pStyle w:val="966"/>
      </w:pPr>
      <w:r>
        <w:rPr>
          <w:rFonts w:hint="eastAsia"/>
        </w:rPr>
        <w:t xml:space="preserve">2.8.2.6.1.具有全方位传感系统，数字化气路压力监测（入口和出口）、气路流量监测、炉丝电流监测、元素灯电流监测、大气压力监测，可升级废液位监测、温湿度测量、有害气体监测等； </w:t>
      </w:r>
      <w:r/>
    </w:p>
    <w:p>
      <w:pPr>
        <w:pStyle w:val="966"/>
      </w:pPr>
      <w:r>
        <w:rPr>
          <w:rFonts w:hint="eastAsia"/>
        </w:rPr>
        <w:t xml:space="preserve">2.8.2.6.2.运行保护报警系统，无载气安全保护、炉丝短路断路保护、气路漏气保护、氢化物反应剧烈保护、废液位提醒；</w:t>
      </w:r>
      <w:r/>
    </w:p>
    <w:p>
      <w:pPr>
        <w:pStyle w:val="966"/>
      </w:pPr>
      <w:r>
        <w:rPr>
          <w:rFonts w:hint="eastAsia"/>
        </w:rPr>
        <w:t xml:space="preserve">2.8.2.7. 全自动水浴消解模块</w:t>
      </w:r>
      <w:r/>
    </w:p>
    <w:p>
      <w:pPr>
        <w:pStyle w:val="966"/>
      </w:pPr>
      <w:r>
        <w:rPr>
          <w:rFonts w:hint="eastAsia"/>
        </w:rPr>
        <w:t xml:space="preserve">2.8.2.7.1.样品位数：≥50位；</w:t>
      </w:r>
      <w:r/>
    </w:p>
    <w:p>
      <w:pPr>
        <w:pStyle w:val="966"/>
      </w:pPr>
      <w:r>
        <w:rPr>
          <w:rFonts w:hint="eastAsia"/>
        </w:rPr>
        <w:t xml:space="preserve">2.8.2.7.2.进水时间：≤10min；</w:t>
      </w:r>
      <w:r/>
    </w:p>
    <w:p>
      <w:pPr>
        <w:pStyle w:val="966"/>
      </w:pPr>
      <w:r>
        <w:rPr>
          <w:rFonts w:hint="eastAsia"/>
        </w:rPr>
        <w:t xml:space="preserve">2.8.2.7.3.排水时间：≤10min；</w:t>
      </w:r>
      <w:r/>
    </w:p>
    <w:p>
      <w:pPr>
        <w:pStyle w:val="966"/>
      </w:pPr>
      <w:r>
        <w:rPr>
          <w:rFonts w:hint="eastAsia"/>
        </w:rPr>
        <w:t xml:space="preserve">2.8.2.7.4.升温时间：≤30min（升温至100℃）；</w:t>
      </w:r>
      <w:r/>
    </w:p>
    <w:p>
      <w:pPr>
        <w:pStyle w:val="966"/>
      </w:pPr>
      <w:r>
        <w:rPr>
          <w:rFonts w:hint="eastAsia"/>
        </w:rPr>
        <w:t xml:space="preserve">2.8.2.7.5.冷却时间：≤30min（冷却至30℃）；</w:t>
      </w:r>
      <w:r/>
    </w:p>
    <w:p>
      <w:pPr>
        <w:pStyle w:val="966"/>
      </w:pPr>
      <w:r>
        <w:rPr>
          <w:rFonts w:hint="eastAsia"/>
        </w:rPr>
        <w:t xml:space="preserve">2.8.2.7.6.进水流量：1800ml/min；</w:t>
      </w:r>
      <w:r/>
    </w:p>
    <w:p>
      <w:pPr>
        <w:pStyle w:val="966"/>
      </w:pPr>
      <w:r>
        <w:rPr>
          <w:rFonts w:hint="eastAsia"/>
        </w:rPr>
        <w:t xml:space="preserve">2.8.2.7.7.排水流量：200-2000ml/min；</w:t>
      </w:r>
      <w:r/>
    </w:p>
    <w:p>
      <w:pPr>
        <w:pStyle w:val="966"/>
      </w:pPr>
      <w:r>
        <w:rPr>
          <w:rFonts w:hint="eastAsia"/>
        </w:rPr>
        <w:t xml:space="preserve">2.8.2.7.8.补水流量：120ml/min；</w:t>
      </w:r>
      <w:r/>
    </w:p>
    <w:p>
      <w:pPr>
        <w:pStyle w:val="966"/>
      </w:pPr>
      <w:r>
        <w:rPr>
          <w:rFonts w:hint="eastAsia"/>
        </w:rPr>
        <w:t xml:space="preserve">2.8.2.7.9.控温范围：室温+5℃-100℃；</w:t>
      </w:r>
      <w:r/>
    </w:p>
    <w:p>
      <w:pPr>
        <w:pStyle w:val="966"/>
      </w:pPr>
      <w:r>
        <w:rPr>
          <w:rFonts w:hint="eastAsia"/>
        </w:rPr>
        <w:t xml:space="preserve">2.8.2.7.10.控温精度：±1℃；</w:t>
      </w:r>
      <w:r/>
    </w:p>
    <w:p>
      <w:pPr>
        <w:pStyle w:val="966"/>
      </w:pPr>
      <w:r>
        <w:rPr>
          <w:rFonts w:hint="eastAsia"/>
        </w:rPr>
        <w:t xml:space="preserve">2.8.2.7.11.温度均匀性：≤1℃；</w:t>
      </w:r>
      <w:r/>
    </w:p>
    <w:p>
      <w:pPr>
        <w:pStyle w:val="966"/>
      </w:pPr>
      <w:r>
        <w:rPr>
          <w:rFonts w:hint="eastAsia"/>
        </w:rPr>
        <w:t xml:space="preserve">2.8.2.7.12.温度波动性：±0.5℃；</w:t>
      </w:r>
      <w:r/>
    </w:p>
    <w:p>
      <w:pPr>
        <w:pStyle w:val="966"/>
      </w:pPr>
      <w:r>
        <w:rPr>
          <w:rFonts w:hint="eastAsia"/>
        </w:rPr>
        <w:t xml:space="preserve">2.8.2.7.13.温度显示精度：0.1℃；</w:t>
      </w:r>
      <w:r/>
    </w:p>
    <w:p>
      <w:pPr>
        <w:pStyle w:val="966"/>
      </w:pPr>
      <w:r>
        <w:rPr>
          <w:rFonts w:hint="eastAsia"/>
        </w:rPr>
        <w:t xml:space="preserve">2.8.2.7.14.定量精度：≤0.3%。</w:t>
      </w:r>
      <w:r/>
    </w:p>
    <w:p>
      <w:pPr>
        <w:pStyle w:val="966"/>
      </w:pPr>
      <w:r>
        <w:rPr>
          <w:rFonts w:hint="eastAsia"/>
        </w:rPr>
        <w:t xml:space="preserve">2.8.2.8设备支持向智能实验室中控系统开放标准通信协议，可实现系统对设备的集中控制调度以及设备数据的自动上传。</w:t>
      </w:r>
      <w:r/>
    </w:p>
    <w:p>
      <w:pPr>
        <w:pStyle w:val="966"/>
      </w:pPr>
      <w:r>
        <w:rPr>
          <w:rFonts w:hint="eastAsia"/>
        </w:rPr>
        <w:t xml:space="preserve">2.8.3. 性能要求：</w:t>
      </w:r>
      <w:r/>
    </w:p>
    <w:p>
      <w:pPr>
        <w:pStyle w:val="966"/>
      </w:pPr>
      <w:r>
        <w:rPr>
          <w:rFonts w:hint="eastAsia"/>
        </w:rPr>
        <w:t xml:space="preserve">2.8.3.1.漂移：≤1.0%；</w:t>
      </w:r>
      <w:r/>
    </w:p>
    <w:p>
      <w:pPr>
        <w:pStyle w:val="966"/>
      </w:pPr>
      <w:r>
        <w:rPr>
          <w:rFonts w:hint="eastAsia"/>
        </w:rPr>
        <w:t xml:space="preserve">2.8.3.2.噪声：≤1.0%；</w:t>
      </w:r>
      <w:r/>
    </w:p>
    <w:p>
      <w:pPr>
        <w:pStyle w:val="966"/>
      </w:pPr>
      <w:r>
        <w:rPr>
          <w:rFonts w:hint="eastAsia"/>
        </w:rPr>
        <w:t xml:space="preserve">2.8.3.3.道间干扰：≤±1.0%；</w:t>
      </w:r>
      <w:r/>
    </w:p>
    <w:p>
      <w:pPr>
        <w:pStyle w:val="966"/>
      </w:pPr>
      <w:r>
        <w:rPr>
          <w:rFonts w:hint="eastAsia"/>
        </w:rPr>
        <w:t xml:space="preserve">2.8.3.4.重复性（RSD）：≤0.5%；</w:t>
      </w:r>
      <w:r/>
    </w:p>
    <w:p>
      <w:pPr>
        <w:pStyle w:val="966"/>
      </w:pPr>
      <w:r>
        <w:rPr>
          <w:rFonts w:hint="eastAsia"/>
        </w:rPr>
        <w:t xml:space="preserve">2.8.3.5.典型元素检出限（D.L.）：汞（Hg）≤0.001µg/L；</w:t>
      </w:r>
      <w:r/>
    </w:p>
    <w:p>
      <w:pPr>
        <w:pStyle w:val="966"/>
      </w:pPr>
      <w:r>
        <w:rPr>
          <w:rFonts w:hint="eastAsia"/>
        </w:rPr>
        <w:t xml:space="preserve">2.8.3.6.线性范围：≥103；</w:t>
      </w:r>
      <w:r/>
    </w:p>
    <w:p>
      <w:pPr>
        <w:pStyle w:val="966"/>
      </w:pPr>
      <w:r>
        <w:rPr>
          <w:rFonts w:hint="eastAsia"/>
        </w:rPr>
        <w:t xml:space="preserve">2.8.3.7.Hg长期稳定性：≤5.0%/4h @ 0.5ppb；</w:t>
      </w:r>
      <w:r/>
    </w:p>
    <w:p>
      <w:pPr>
        <w:pStyle w:val="966"/>
      </w:pPr>
      <w:r>
        <w:rPr>
          <w:rFonts w:hint="eastAsia"/>
        </w:rPr>
        <w:t xml:space="preserve">2.8.3.8.Hg测定下限：0.05ppb（按照HJ 168附录 A中规定方法进行检出限和测定下限的测定）。</w:t>
      </w:r>
      <w:r/>
    </w:p>
    <w:p>
      <w:pPr>
        <w:pStyle w:val="966"/>
      </w:pPr>
      <w:r>
        <w:rPr>
          <w:rFonts w:hint="eastAsia"/>
        </w:rPr>
        <w:t xml:space="preserve">2.8.4 配置要求：</w:t>
      </w:r>
      <w:r/>
    </w:p>
    <w:p>
      <w:pPr>
        <w:pStyle w:val="966"/>
      </w:pPr>
      <w:r>
        <w:rPr>
          <w:rFonts w:hint="eastAsia"/>
        </w:rPr>
        <w:t xml:space="preserve">原子荧光光度计主机 1套、全自动消解进样器 1套、安装调试用检测试剂包 1套、纯水与废液桶 1套、电源线与通讯线 1套、用户手册 1套、触摸屏1套、数据处理软件1套。</w:t>
      </w:r>
      <w:r/>
    </w:p>
    <w:p>
      <w:pPr>
        <w:pStyle w:val="966"/>
        <w:rPr>
          <w:b/>
          <w:bCs/>
        </w:rPr>
      </w:pPr>
      <w:r>
        <w:rPr>
          <w:rFonts w:hint="eastAsia"/>
          <w:b/>
          <w:bCs/>
        </w:rPr>
        <w:t xml:space="preserve">2.9.全自动石油类分析单元</w:t>
      </w:r>
      <w:r/>
    </w:p>
    <w:p>
      <w:pPr>
        <w:pStyle w:val="966"/>
      </w:pPr>
      <w:r>
        <w:rPr>
          <w:rFonts w:hint="eastAsia"/>
        </w:rPr>
        <w:t xml:space="preserve">2.9.1.用途要求</w:t>
      </w:r>
      <w:r/>
    </w:p>
    <w:p>
      <w:pPr>
        <w:pStyle w:val="966"/>
      </w:pPr>
      <w:r>
        <w:rPr>
          <w:rFonts w:hint="eastAsia"/>
        </w:rPr>
        <w:t xml:space="preserve">用于地表水石油类指标的实验室全自动化检测。</w:t>
      </w:r>
      <w:r/>
    </w:p>
    <w:p>
      <w:pPr>
        <w:pStyle w:val="966"/>
        <w:rPr>
          <w:i/>
          <w:iCs/>
          <w:u w:val="single"/>
        </w:rPr>
      </w:pPr>
      <w:r>
        <w:rPr>
          <w:rFonts w:hint="eastAsia"/>
          <w:i/>
          <w:iCs/>
          <w:u w:val="single"/>
        </w:rPr>
        <w:t xml:space="preserve">2.9.2.</w:t>
      </w:r>
      <w:r>
        <w:rPr>
          <w:rFonts w:hint="eastAsia"/>
          <w:i/>
          <w:iCs/>
          <w:u w:val="single"/>
          <w:lang w:val="en-US" w:eastAsia="zh-CN"/>
        </w:rPr>
        <w:t xml:space="preserve">符合的标准</w:t>
      </w:r>
      <w:r>
        <w:rPr>
          <w:rFonts w:hint="eastAsia"/>
          <w:i/>
          <w:iCs/>
          <w:u w:val="single"/>
        </w:rPr>
        <w:t xml:space="preserve">要求</w:t>
      </w:r>
      <w:r/>
    </w:p>
    <w:p>
      <w:pPr>
        <w:pStyle w:val="966"/>
        <w:rPr>
          <w:i/>
          <w:iCs/>
          <w:u w:val="single"/>
        </w:rPr>
      </w:pPr>
      <w:r>
        <w:rPr>
          <w:rFonts w:hint="eastAsia"/>
          <w:i/>
          <w:iCs/>
          <w:u w:val="single"/>
        </w:rPr>
        <w:t xml:space="preserve">遵循标准《水质石油类的测定紫外分光光度法（试行）》（HJ 970-2018）、《国家地表水环境质量监测网监测任务作业指导书》规定方法标准设计。</w:t>
      </w:r>
      <w:r/>
    </w:p>
    <w:p>
      <w:pPr>
        <w:pStyle w:val="966"/>
        <w:rPr>
          <w:i/>
          <w:iCs/>
          <w:u w:val="single"/>
        </w:rPr>
      </w:pPr>
      <w:r>
        <w:rPr>
          <w:rFonts w:hint="eastAsia"/>
          <w:i/>
          <w:iCs/>
          <w:u w:val="single"/>
        </w:rPr>
        <w:t xml:space="preserve">样品量：500 ml，萃取液体积为 25 ml，测量波长：225nm</w:t>
      </w:r>
      <w:r/>
    </w:p>
    <w:p>
      <w:pPr>
        <w:pStyle w:val="966"/>
      </w:pPr>
      <w:r>
        <w:rPr>
          <w:rFonts w:hint="eastAsia"/>
        </w:rPr>
        <w:t xml:space="preserve">2.9.3.技术要求</w:t>
      </w:r>
      <w:r/>
    </w:p>
    <w:p>
      <w:pPr>
        <w:pStyle w:val="966"/>
      </w:pPr>
      <w:r>
        <w:rPr>
          <w:rFonts w:hint="eastAsia"/>
        </w:rPr>
        <w:t xml:space="preserve">2.9.3.</w:t>
      </w:r>
      <w:r>
        <w:t xml:space="preserve">1</w:t>
      </w:r>
      <w:r>
        <w:rPr>
          <w:rFonts w:hint="eastAsia"/>
        </w:rPr>
        <w:t xml:space="preserve">样品位数：≥</w:t>
      </w:r>
      <w:r>
        <w:t xml:space="preserve">6</w:t>
      </w:r>
      <w:r>
        <w:rPr>
          <w:rFonts w:hint="eastAsia"/>
        </w:rPr>
        <w:t xml:space="preserve">位</w:t>
      </w:r>
      <w:r/>
    </w:p>
    <w:p>
      <w:pPr>
        <w:pStyle w:val="966"/>
      </w:pPr>
      <w:r>
        <w:rPr>
          <w:rFonts w:hint="eastAsia"/>
        </w:rPr>
        <w:t xml:space="preserve">2.9.3.</w:t>
      </w:r>
      <w:r>
        <w:t xml:space="preserve">2</w:t>
      </w:r>
      <w:r>
        <w:rPr>
          <w:rFonts w:hint="eastAsia"/>
        </w:rPr>
        <w:t xml:space="preserve">采 样 瓶：500ml或700ml棕色广口瓶，样品不转移</w:t>
      </w:r>
      <w:r/>
    </w:p>
    <w:p>
      <w:pPr>
        <w:pStyle w:val="966"/>
      </w:pPr>
      <w:r>
        <w:rPr>
          <w:rFonts w:hint="eastAsia"/>
        </w:rPr>
        <w:t xml:space="preserve">2.9.3.</w:t>
      </w:r>
      <w:r>
        <w:t xml:space="preserve">3</w:t>
      </w:r>
      <w:r>
        <w:rPr>
          <w:rFonts w:hint="eastAsia"/>
        </w:rPr>
        <w:t xml:space="preserve">萃 取 器：广口瓶直接萃取</w:t>
      </w:r>
      <w:r/>
    </w:p>
    <w:p>
      <w:pPr>
        <w:pStyle w:val="966"/>
      </w:pPr>
      <w:r>
        <w:rPr>
          <w:rFonts w:hint="eastAsia"/>
        </w:rPr>
        <w:t xml:space="preserve">2.9.3.</w:t>
      </w:r>
      <w:r>
        <w:t xml:space="preserve">4</w:t>
      </w:r>
      <w:r>
        <w:rPr>
          <w:rFonts w:hint="eastAsia"/>
        </w:rPr>
        <w:t xml:space="preserve">水样体积：0-700毫升（任选）</w:t>
      </w:r>
      <w:r/>
    </w:p>
    <w:p>
      <w:pPr>
        <w:pStyle w:val="966"/>
      </w:pPr>
      <w:r>
        <w:rPr>
          <w:rFonts w:hint="eastAsia"/>
        </w:rPr>
        <w:t xml:space="preserve">2.9.3.</w:t>
      </w:r>
      <w:r>
        <w:t xml:space="preserve">5</w:t>
      </w:r>
      <w:r>
        <w:rPr>
          <w:rFonts w:hint="eastAsia"/>
        </w:rPr>
        <w:t xml:space="preserve">体积量取：自动测量水样体积，体积测量误差&lt;2%</w:t>
      </w:r>
      <w:r/>
    </w:p>
    <w:p>
      <w:pPr>
        <w:pStyle w:val="966"/>
      </w:pPr>
      <w:r>
        <w:rPr>
          <w:rFonts w:hint="eastAsia"/>
        </w:rPr>
        <w:t xml:space="preserve">2.9.3.</w:t>
      </w:r>
      <w:r>
        <w:t xml:space="preserve">6</w:t>
      </w:r>
      <w:r>
        <w:rPr>
          <w:rFonts w:hint="eastAsia"/>
        </w:rPr>
        <w:t xml:space="preserve">萃取试剂：正己烷或石油醚</w:t>
      </w:r>
      <w:r/>
    </w:p>
    <w:p>
      <w:pPr>
        <w:pStyle w:val="966"/>
      </w:pPr>
      <w:r>
        <w:rPr>
          <w:rFonts w:hint="eastAsia"/>
        </w:rPr>
        <w:t xml:space="preserve">2.9.3.</w:t>
      </w:r>
      <w:r>
        <w:t xml:space="preserve">7</w:t>
      </w:r>
      <w:r>
        <w:rPr>
          <w:rFonts w:hint="eastAsia"/>
        </w:rPr>
        <w:t xml:space="preserve">试剂收集：正己烷与水完全自动分离</w:t>
      </w:r>
      <w:r/>
    </w:p>
    <w:p>
      <w:pPr>
        <w:pStyle w:val="966"/>
      </w:pPr>
      <w:r>
        <w:rPr>
          <w:rFonts w:hint="eastAsia"/>
        </w:rPr>
        <w:t xml:space="preserve">2.9.3.</w:t>
      </w:r>
      <w:r>
        <w:t xml:space="preserve">8</w:t>
      </w:r>
      <w:r>
        <w:rPr>
          <w:rFonts w:hint="eastAsia"/>
        </w:rPr>
        <w:t xml:space="preserve">校正方法：标准曲线，完成一条标准曲线时间小于10分钟</w:t>
      </w:r>
      <w:r/>
    </w:p>
    <w:p>
      <w:pPr>
        <w:pStyle w:val="966"/>
      </w:pPr>
      <w:r>
        <w:rPr>
          <w:rFonts w:hint="eastAsia"/>
        </w:rPr>
        <w:t xml:space="preserve">2.9.3.</w:t>
      </w:r>
      <w:r>
        <w:t xml:space="preserve">9</w:t>
      </w:r>
      <w:r>
        <w:rPr>
          <w:rFonts w:hint="eastAsia"/>
        </w:rPr>
        <w:t xml:space="preserve">分析软件：校正、分析、计算等</w:t>
      </w:r>
      <w:r/>
    </w:p>
    <w:p>
      <w:pPr>
        <w:pStyle w:val="966"/>
      </w:pPr>
      <w:r>
        <w:rPr>
          <w:rFonts w:hint="eastAsia"/>
        </w:rPr>
        <w:t xml:space="preserve">2.9.3.1</w:t>
      </w:r>
      <w:r>
        <w:t xml:space="preserve">0</w:t>
      </w:r>
      <w:r>
        <w:rPr>
          <w:rFonts w:hint="eastAsia"/>
        </w:rPr>
        <w:t xml:space="preserve">设备支持向智能实验室中控系统开放标准通信协议，可实现系统对设备数据的自动上传。</w:t>
      </w:r>
      <w:r/>
    </w:p>
    <w:p>
      <w:pPr>
        <w:pStyle w:val="966"/>
      </w:pPr>
      <w:r>
        <w:rPr>
          <w:rFonts w:hint="eastAsia"/>
        </w:rPr>
        <w:t xml:space="preserve">2.9.4.指标要求</w:t>
      </w:r>
      <w:r/>
    </w:p>
    <w:p>
      <w:pPr>
        <w:pStyle w:val="966"/>
      </w:pPr>
      <w:r>
        <w:rPr>
          <w:rFonts w:hint="eastAsia"/>
        </w:rPr>
        <w:t xml:space="preserve">2.9.4.1 测量范围：0-16mg/L，超量程自动稀释；</w:t>
      </w:r>
      <w:r/>
    </w:p>
    <w:p>
      <w:pPr>
        <w:pStyle w:val="966"/>
      </w:pPr>
      <w:r>
        <w:rPr>
          <w:rFonts w:hint="eastAsia"/>
        </w:rPr>
        <w:t xml:space="preserve">2.9.4.2 分辨率：0.001mg/L；</w:t>
      </w:r>
      <w:r/>
    </w:p>
    <w:p>
      <w:pPr>
        <w:pStyle w:val="966"/>
      </w:pPr>
      <w:r>
        <w:rPr>
          <w:rFonts w:hint="eastAsia"/>
        </w:rPr>
        <w:t xml:space="preserve">2.9.4.3 检出限：0.005mg/L；</w:t>
      </w:r>
      <w:r/>
    </w:p>
    <w:p>
      <w:pPr>
        <w:pStyle w:val="966"/>
      </w:pPr>
      <w:r>
        <w:rPr>
          <w:rFonts w:hint="eastAsia"/>
        </w:rPr>
        <w:t xml:space="preserve">2.9.4.4 重现性：RSD&lt;2%；</w:t>
      </w:r>
      <w:r/>
    </w:p>
    <w:p>
      <w:pPr>
        <w:pStyle w:val="966"/>
      </w:pPr>
      <w:r>
        <w:rPr>
          <w:rFonts w:hint="eastAsia"/>
        </w:rPr>
        <w:t xml:space="preserve">2.9.4.5 仪器线性：R≥0.9999；</w:t>
      </w:r>
      <w:r/>
    </w:p>
    <w:p>
      <w:pPr>
        <w:pStyle w:val="966"/>
      </w:pPr>
      <w:r>
        <w:rPr>
          <w:rFonts w:hint="eastAsia"/>
        </w:rPr>
        <w:t xml:space="preserve">2.9.4.6 加标回收率≥90%；</w:t>
      </w:r>
      <w:r/>
    </w:p>
    <w:p>
      <w:pPr>
        <w:pStyle w:val="966"/>
      </w:pPr>
      <w:r>
        <w:rPr>
          <w:rFonts w:hint="eastAsia"/>
        </w:rPr>
        <w:t xml:space="preserve">2.9.4.7 分析速度：连续测量，不超过8分钟一个样。</w:t>
      </w:r>
      <w:r/>
    </w:p>
    <w:p>
      <w:pPr>
        <w:pStyle w:val="966"/>
      </w:pPr>
      <w:r>
        <w:rPr>
          <w:rFonts w:hint="eastAsia"/>
        </w:rPr>
        <w:t xml:space="preserve">2.9.5.配置要求</w:t>
      </w:r>
      <w:r/>
    </w:p>
    <w:p>
      <w:pPr>
        <w:pStyle w:val="966"/>
      </w:pPr>
      <w:r>
        <w:rPr>
          <w:rFonts w:hint="eastAsia"/>
        </w:rPr>
        <w:t xml:space="preserve">自动进样器1台、全自动紫外分光测油仪主机1台、专用萃取瓶12个、配件套包1套、用户手册1套、纯水和废液桶1套、触摸屏1套、数据处理软件1套、配套仪器桌1套、废液和纯水告警组件1套。</w:t>
      </w:r>
      <w:r/>
    </w:p>
    <w:p>
      <w:pPr>
        <w:pStyle w:val="966"/>
        <w:rPr>
          <w:b/>
          <w:bCs/>
        </w:rPr>
      </w:pPr>
      <w:r/>
      <w:bookmarkStart w:id="26" w:name="_Toc28107"/>
      <w:r>
        <w:rPr>
          <w:rFonts w:hint="eastAsia"/>
          <w:b/>
          <w:bCs/>
        </w:rPr>
        <w:t xml:space="preserve">2.10.全自动</w:t>
      </w:r>
      <w:bookmarkEnd w:id="26"/>
      <w:r>
        <w:rPr>
          <w:rFonts w:hint="eastAsia"/>
          <w:b/>
          <w:bCs/>
        </w:rPr>
        <w:t xml:space="preserve">分液单元</w:t>
      </w:r>
      <w:r/>
    </w:p>
    <w:p>
      <w:pPr>
        <w:pStyle w:val="966"/>
      </w:pPr>
      <w:r>
        <w:rPr>
          <w:rFonts w:hint="eastAsia"/>
        </w:rPr>
        <w:t xml:space="preserve">2.10.1.用途要求</w:t>
      </w:r>
      <w:r/>
    </w:p>
    <w:p>
      <w:pPr>
        <w:pStyle w:val="966"/>
      </w:pPr>
      <w:r>
        <w:rPr>
          <w:rFonts w:hint="eastAsia"/>
        </w:rPr>
        <w:t xml:space="preserve">可实现样品瓶的自动扫码、自动分拣、自动开盖、定量取样、自动关盖、系统清洗等。</w:t>
      </w:r>
      <w:r/>
    </w:p>
    <w:p>
      <w:pPr>
        <w:pStyle w:val="966"/>
      </w:pPr>
      <w:r>
        <w:rPr>
          <w:rFonts w:hint="eastAsia"/>
        </w:rPr>
        <w:t xml:space="preserve">2.10.2.工作条件</w:t>
      </w:r>
      <w:r/>
    </w:p>
    <w:p>
      <w:pPr>
        <w:pStyle w:val="966"/>
      </w:pPr>
      <w:r>
        <w:rPr>
          <w:rFonts w:hint="eastAsia"/>
        </w:rPr>
        <w:t xml:space="preserve">2.10.2.1.供电电源：（220±22）VAC，（50±0.5）Hz，＜1600W；</w:t>
      </w:r>
      <w:r/>
    </w:p>
    <w:p>
      <w:pPr>
        <w:pStyle w:val="966"/>
      </w:pPr>
      <w:r>
        <w:rPr>
          <w:rFonts w:hint="eastAsia"/>
        </w:rPr>
        <w:t xml:space="preserve">2.10.2.2.环境温度：(10～30)℃；</w:t>
      </w:r>
      <w:r/>
    </w:p>
    <w:p>
      <w:pPr>
        <w:pStyle w:val="966"/>
      </w:pPr>
      <w:r>
        <w:rPr>
          <w:rFonts w:hint="eastAsia"/>
        </w:rPr>
        <w:t xml:space="preserve">2.10.2.3.环境湿度：(20～80)%RH。</w:t>
      </w:r>
      <w:r/>
    </w:p>
    <w:p>
      <w:pPr>
        <w:pStyle w:val="966"/>
      </w:pPr>
      <w:r>
        <w:rPr>
          <w:rFonts w:hint="eastAsia"/>
        </w:rPr>
        <w:t xml:space="preserve">2.10.3.技术要求</w:t>
      </w:r>
      <w:r/>
    </w:p>
    <w:p>
      <w:pPr>
        <w:pStyle w:val="966"/>
      </w:pPr>
      <w:r>
        <w:rPr>
          <w:rFonts w:hint="eastAsia"/>
        </w:rPr>
        <w:t xml:space="preserve">2.10.3.1 智能分样流程：待测样品瓶按顺序完成智能扫码识别、自动开盖、水样自动混匀、取样管路自动润洗、水样从样品瓶自动定量移取到样品管（含定量稀释量取）、管路自动清洗、样品瓶自动关盖和归位、样品管自动转移到样品管缓存台。</w:t>
      </w:r>
      <w:r/>
    </w:p>
    <w:p>
      <w:pPr>
        <w:pStyle w:val="966"/>
        <w:rPr>
          <w:b/>
          <w:bCs/>
        </w:rPr>
      </w:pPr>
      <w:r>
        <w:rPr>
          <w:rFonts w:hint="eastAsia"/>
        </w:rPr>
        <w:t xml:space="preserve">▲2.10.3.2 分液：至少具有两个样品瓶开盖分液位，开盖和分液位二合一，提高分液效率。每个分液位的分液通道至少满足双泵双管路设计，其中至少包括一个注射泵，采用的蠕动泵分液的情况，蠕动泵应具备自动定期称量校准功能；</w:t>
      </w:r>
      <w:r>
        <w:rPr>
          <w:rFonts w:hint="eastAsia"/>
          <w:b/>
          <w:bCs/>
        </w:rPr>
        <w:t xml:space="preserve">（提供分液单元设备内两个扫码、开盖分液位的整机清晰实物图以及分液单元含校准模块整机清晰实物图证明并加盖投标人公章）</w:t>
      </w:r>
      <w:r/>
    </w:p>
    <w:p>
      <w:pPr>
        <w:pStyle w:val="966"/>
        <w:rPr>
          <w:b/>
          <w:bCs/>
        </w:rPr>
      </w:pPr>
      <w:r/>
      <w:bookmarkStart w:id="27" w:name="OLE_LINK25"/>
      <w:r>
        <w:rPr>
          <w:rFonts w:hint="eastAsia"/>
        </w:rPr>
        <w:t xml:space="preserve">▲</w:t>
      </w:r>
      <w:bookmarkEnd w:id="27"/>
      <w:r>
        <w:rPr>
          <w:rFonts w:hint="eastAsia"/>
        </w:rPr>
        <w:t xml:space="preserve">2.10.3.3分液精度:≤士1%（分液体积≥10mL）</w:t>
      </w:r>
      <w:r>
        <w:rPr>
          <w:rFonts w:hint="eastAsia"/>
          <w:lang w:eastAsia="zh-CN"/>
        </w:rPr>
        <w:t xml:space="preserve">；</w:t>
      </w:r>
      <w:r>
        <w:rPr>
          <w:rFonts w:hint="eastAsia"/>
        </w:rPr>
        <w:t xml:space="preserve">润洗排空功能：分液完成后可自动进行润洗、排空</w:t>
      </w:r>
      <w:r>
        <w:rPr>
          <w:rFonts w:hint="eastAsia"/>
          <w:lang w:eastAsia="zh-CN"/>
        </w:rPr>
        <w:t xml:space="preserve">；</w:t>
      </w:r>
      <w:r>
        <w:rPr>
          <w:rFonts w:hint="eastAsia"/>
        </w:rPr>
        <w:t xml:space="preserve">抓取功能：可同时兼容250mL、500mL、1000mL玻璃、塑料样品瓶及28mm、40mm、60mm直径样品管的抓取</w:t>
      </w:r>
      <w:r>
        <w:rPr>
          <w:rFonts w:hint="eastAsia"/>
          <w:lang w:eastAsia="zh-CN"/>
        </w:rPr>
        <w:t xml:space="preserve">；</w:t>
      </w:r>
      <w:r>
        <w:rPr>
          <w:rFonts w:hint="eastAsia"/>
        </w:rPr>
        <w:t xml:space="preserve">开关盖功能：可同时兼容250mL、500mL、1000mL玻璃、塑料样品瓶开关盖功能。</w:t>
      </w:r>
      <w:r>
        <w:rPr>
          <w:rFonts w:hint="eastAsia"/>
          <w:b/>
          <w:bCs/>
        </w:rPr>
        <w:t xml:space="preserve">（提供市级或以上计量单位评价报告证明并加盖投标人公章）</w:t>
      </w:r>
      <w:r/>
    </w:p>
    <w:p>
      <w:pPr>
        <w:pStyle w:val="966"/>
      </w:pPr>
      <w:r>
        <w:rPr>
          <w:rFonts w:hint="eastAsia"/>
        </w:rPr>
        <w:t xml:space="preserve">2.10.3.</w:t>
      </w:r>
      <w:r>
        <w:rPr>
          <w:rFonts w:hint="eastAsia"/>
          <w:lang w:val="en-US" w:eastAsia="zh-CN"/>
        </w:rPr>
        <w:t xml:space="preserve">4</w:t>
      </w:r>
      <w:r>
        <w:rPr>
          <w:rFonts w:hint="eastAsia"/>
        </w:rPr>
        <w:t xml:space="preserve"> 智能机械臂组件：智能机械臂组件采用不低于6个自由度的机械臂及地轨方式，实现宽覆盖样品瓶的开盖、关盖、抓取、放置的动作和样品管的抓取、放置的动作。</w:t>
      </w:r>
      <w:r/>
    </w:p>
    <w:p>
      <w:pPr>
        <w:pStyle w:val="966"/>
      </w:pPr>
      <w:r>
        <w:rPr>
          <w:rFonts w:hint="eastAsia"/>
        </w:rPr>
        <w:t xml:space="preserve">2.10.3.</w:t>
      </w:r>
      <w:r>
        <w:rPr>
          <w:rFonts w:hint="eastAsia"/>
          <w:lang w:val="en-US" w:eastAsia="zh-CN"/>
        </w:rPr>
        <w:t xml:space="preserve">5</w:t>
      </w:r>
      <w:r>
        <w:rPr>
          <w:rFonts w:hint="eastAsia"/>
        </w:rPr>
        <w:t xml:space="preserve">机械臂参数要求： </w:t>
      </w:r>
      <w:r/>
    </w:p>
    <w:p>
      <w:pPr>
        <w:pStyle w:val="966"/>
      </w:pPr>
      <w:r>
        <w:rPr>
          <w:rFonts w:hint="eastAsia"/>
        </w:rPr>
        <w:t xml:space="preserve">（1）自由度：≥6； </w:t>
      </w:r>
      <w:r/>
    </w:p>
    <w:p>
      <w:pPr>
        <w:pStyle w:val="966"/>
      </w:pPr>
      <w:r>
        <w:rPr>
          <w:rFonts w:hint="eastAsia"/>
        </w:rPr>
        <w:t xml:space="preserve">（2）有效负载：≥7kg；</w:t>
      </w:r>
      <w:r/>
    </w:p>
    <w:p>
      <w:pPr>
        <w:pStyle w:val="966"/>
      </w:pPr>
      <w:r>
        <w:rPr>
          <w:rFonts w:hint="eastAsia"/>
        </w:rPr>
        <w:t xml:space="preserve">（3）工作半径：≥700mm；</w:t>
      </w:r>
      <w:r/>
    </w:p>
    <w:p>
      <w:pPr>
        <w:pStyle w:val="966"/>
      </w:pPr>
      <w:r>
        <w:rPr>
          <w:rFonts w:hint="eastAsia"/>
        </w:rPr>
        <w:t xml:space="preserve">（4）重复定位精度：≤±0.02 mm；</w:t>
      </w:r>
      <w:r/>
    </w:p>
    <w:p>
      <w:pPr>
        <w:pStyle w:val="966"/>
      </w:pPr>
      <w:r>
        <w:rPr>
          <w:rFonts w:hint="eastAsia"/>
        </w:rPr>
        <w:t xml:space="preserve">（5）工作温度覆盖：（0-40）℃。</w:t>
      </w:r>
      <w:r/>
    </w:p>
    <w:p>
      <w:pPr>
        <w:pStyle w:val="966"/>
      </w:pPr>
      <w:r/>
      <w:bookmarkStart w:id="28" w:name="OLE_LINK16"/>
      <w:r>
        <w:rPr>
          <w:rFonts w:hint="eastAsia"/>
        </w:rPr>
        <w:t xml:space="preserve">2.10.3.</w:t>
      </w:r>
      <w:r>
        <w:rPr>
          <w:rFonts w:hint="eastAsia"/>
          <w:lang w:val="en-US" w:eastAsia="zh-CN"/>
        </w:rPr>
        <w:t xml:space="preserve">6</w:t>
      </w:r>
      <w:r>
        <w:rPr>
          <w:rFonts w:hint="eastAsia"/>
        </w:rPr>
        <w:t xml:space="preserve"> 地轨参数：</w:t>
      </w:r>
      <w:r/>
    </w:p>
    <w:p>
      <w:pPr>
        <w:pStyle w:val="966"/>
      </w:pPr>
      <w:r>
        <w:rPr>
          <w:rFonts w:hint="eastAsia"/>
        </w:rPr>
        <w:t xml:space="preserve">（1）地轨导程：≥180mm；</w:t>
      </w:r>
      <w:r/>
    </w:p>
    <w:p>
      <w:pPr>
        <w:pStyle w:val="966"/>
      </w:pPr>
      <w:r>
        <w:rPr>
          <w:rFonts w:hint="eastAsia"/>
        </w:rPr>
        <w:t xml:space="preserve">（2）地轨行程：≥1450mm；</w:t>
      </w:r>
      <w:r/>
    </w:p>
    <w:p>
      <w:pPr>
        <w:pStyle w:val="966"/>
      </w:pPr>
      <w:r>
        <w:rPr>
          <w:rFonts w:hint="eastAsia"/>
        </w:rPr>
        <w:t xml:space="preserve">（3）地轨精度：≤±0.05mm。</w:t>
      </w:r>
      <w:bookmarkEnd w:id="28"/>
      <w:r/>
      <w:r/>
    </w:p>
    <w:p>
      <w:pPr>
        <w:pStyle w:val="966"/>
        <w:rPr>
          <w:b/>
          <w:bCs/>
        </w:rPr>
      </w:pPr>
      <w:r>
        <w:t xml:space="preserve">▲</w:t>
      </w:r>
      <w:r>
        <w:rPr>
          <w:rFonts w:hint="eastAsia"/>
        </w:rPr>
        <w:t xml:space="preserve">2.10.3.</w:t>
      </w:r>
      <w:r>
        <w:rPr>
          <w:rFonts w:hint="eastAsia"/>
          <w:lang w:val="en-US" w:eastAsia="zh-CN"/>
        </w:rPr>
        <w:t xml:space="preserve">7</w:t>
      </w:r>
      <w:r>
        <w:rPr>
          <w:rFonts w:hint="eastAsia"/>
        </w:rPr>
        <w:t xml:space="preserve"> 智能夹爪：应采用至少4爪结构；保证杯、瓶竖直；以模拟人手的抓杯方式控制夹爪，并具有掉电保持功能，夹爪行程范围涵盖25 mm -70mm；</w:t>
      </w:r>
      <w:r>
        <w:rPr>
          <w:rFonts w:hint="eastAsia"/>
          <w:b/>
          <w:bCs/>
        </w:rPr>
        <w:t xml:space="preserve">（提供分液单元含4爪以上夹爪的整机清晰实物图证明并加盖投标人公章）</w:t>
      </w:r>
      <w:r/>
    </w:p>
    <w:p>
      <w:pPr>
        <w:pStyle w:val="966"/>
      </w:pPr>
      <w:r>
        <w:rPr>
          <w:rFonts w:hint="eastAsia"/>
        </w:rPr>
        <w:t xml:space="preserve">2.10.3.</w:t>
      </w:r>
      <w:r>
        <w:rPr>
          <w:rFonts w:hint="eastAsia"/>
          <w:lang w:val="en-US" w:eastAsia="zh-CN"/>
        </w:rPr>
        <w:t xml:space="preserve">8</w:t>
      </w:r>
      <w:r>
        <w:rPr>
          <w:rFonts w:hint="eastAsia"/>
        </w:rPr>
        <w:t xml:space="preserve"> 取样功能：支持2-180ml样品全量程定量取样。</w:t>
      </w:r>
      <w:r/>
    </w:p>
    <w:p>
      <w:pPr>
        <w:pStyle w:val="966"/>
      </w:pPr>
      <w:r>
        <w:rPr>
          <w:rFonts w:hint="eastAsia"/>
        </w:rPr>
        <w:t xml:space="preserve">2.10.3.</w:t>
      </w:r>
      <w:r>
        <w:rPr>
          <w:rFonts w:hint="eastAsia"/>
          <w:lang w:val="en-US" w:eastAsia="zh-CN"/>
        </w:rPr>
        <w:t xml:space="preserve">9</w:t>
      </w:r>
      <w:r>
        <w:rPr>
          <w:rFonts w:hint="eastAsia"/>
        </w:rPr>
        <w:t xml:space="preserve">定容和稀释功能：软件支持定量校准功能，保证各体积定容状态下的线性准确度；可设置需要的稀释比例，设备根据选择的比例自动完成稀释。</w:t>
      </w:r>
      <w:r/>
    </w:p>
    <w:p>
      <w:pPr>
        <w:pStyle w:val="966"/>
      </w:pPr>
      <w:r>
        <w:rPr>
          <w:rFonts w:hint="eastAsia"/>
        </w:rPr>
        <w:t xml:space="preserve">2.10.3.</w:t>
      </w:r>
      <w:r>
        <w:rPr>
          <w:rFonts w:hint="eastAsia"/>
          <w:lang w:val="en-US" w:eastAsia="zh-CN"/>
        </w:rPr>
        <w:t xml:space="preserve">10</w:t>
      </w:r>
      <w:r>
        <w:rPr>
          <w:rFonts w:hint="eastAsia"/>
        </w:rPr>
        <w:t xml:space="preserve"> 样品管种类兼容性：支持3种不同规格（28mm，40mm，60mm）的样品管的分液，最大可支持直径70mm的样品管。</w:t>
      </w:r>
      <w:r/>
    </w:p>
    <w:p>
      <w:pPr>
        <w:pStyle w:val="966"/>
      </w:pPr>
      <w:r>
        <w:rPr>
          <w:rFonts w:hint="eastAsia"/>
        </w:rPr>
        <w:t xml:space="preserve">2.10.3.</w:t>
      </w:r>
      <w:r>
        <w:rPr>
          <w:rFonts w:hint="eastAsia"/>
          <w:lang w:val="en-US" w:eastAsia="zh-CN"/>
        </w:rPr>
        <w:t xml:space="preserve">11</w:t>
      </w:r>
      <w:r>
        <w:rPr>
          <w:rFonts w:hint="eastAsia"/>
        </w:rPr>
        <w:t xml:space="preserve"> 智能上下样：设置可移动样品瓶盘和可移动样品管盘，方便上下样品瓶和样品管，运行中可自动、手动更换已分液完成的样品瓶托盘、样品管托盘；运行中可连续上下托盘保持流程连续不间断运行。</w:t>
      </w:r>
      <w:r/>
    </w:p>
    <w:p>
      <w:pPr>
        <w:pStyle w:val="966"/>
        <w:rPr>
          <w:b/>
          <w:bCs/>
        </w:rPr>
      </w:pPr>
      <w:r/>
      <w:bookmarkStart w:id="29" w:name="_Hlk217489502"/>
      <w:r>
        <w:rPr>
          <w:rFonts w:hint="eastAsia"/>
        </w:rPr>
        <w:t xml:space="preserve">▲2.10.3.1</w:t>
      </w:r>
      <w:r>
        <w:rPr>
          <w:rFonts w:hint="eastAsia"/>
          <w:lang w:val="en-US" w:eastAsia="zh-CN"/>
        </w:rPr>
        <w:t xml:space="preserve">2</w:t>
      </w:r>
      <w:r>
        <w:rPr>
          <w:rFonts w:hint="eastAsia"/>
        </w:rPr>
        <w:t xml:space="preserve">样品盘模块：支持抽拉移出功能；其中，样品瓶盘≥6个，样品管盘≥6个，可支持的样品管规格(28mm，40mm，60mm)；一次性可缓存样品管数量不少于500个。</w:t>
      </w:r>
      <w:r>
        <w:rPr>
          <w:rFonts w:hint="eastAsia"/>
          <w:b/>
          <w:bCs/>
        </w:rPr>
        <w:t xml:space="preserve">（提供分液单元含放置三种规格500个样品管的样品盘的整机模块清晰实物图证明并加盖投标人公章）</w:t>
      </w:r>
      <w:bookmarkEnd w:id="29"/>
      <w:r/>
      <w:r/>
    </w:p>
    <w:p>
      <w:pPr>
        <w:pStyle w:val="966"/>
      </w:pPr>
      <w:r>
        <w:rPr>
          <w:rFonts w:hint="eastAsia"/>
        </w:rPr>
        <w:t xml:space="preserve">2.10.3.1</w:t>
      </w:r>
      <w:r>
        <w:rPr>
          <w:rFonts w:hint="eastAsia"/>
          <w:lang w:val="en-US" w:eastAsia="zh-CN"/>
        </w:rPr>
        <w:t xml:space="preserve">3</w:t>
      </w:r>
      <w:r>
        <w:rPr>
          <w:rFonts w:hint="eastAsia"/>
        </w:rPr>
        <w:t xml:space="preserve"> 智能扫码：支持自动扫描样品瓶信息码，并能根据已下发中控样品信息及仪表状态确定分液时间及分液种类；实验室不同光照条件下的扫码功能均能正常运行。</w:t>
      </w:r>
      <w:r/>
    </w:p>
    <w:p>
      <w:pPr>
        <w:pStyle w:val="966"/>
      </w:pPr>
      <w:r>
        <w:rPr>
          <w:rFonts w:hint="eastAsia"/>
        </w:rPr>
        <w:t xml:space="preserve">2.10.3.1</w:t>
      </w:r>
      <w:r>
        <w:rPr>
          <w:rFonts w:hint="eastAsia"/>
          <w:lang w:val="en-US" w:eastAsia="zh-CN"/>
        </w:rPr>
        <w:t xml:space="preserve">4</w:t>
      </w:r>
      <w:r>
        <w:rPr>
          <w:rFonts w:hint="eastAsia"/>
        </w:rPr>
        <w:t xml:space="preserve"> 分液组合多样性：每瓶样品编辑参数自动执行对应样品瓶所需分液的指标执行对应分液操作，适用性强，同批次无需统一参数。</w:t>
      </w:r>
      <w:r/>
    </w:p>
    <w:p>
      <w:pPr>
        <w:pStyle w:val="966"/>
      </w:pPr>
      <w:r>
        <w:rPr>
          <w:rFonts w:hint="eastAsia"/>
        </w:rPr>
        <w:t xml:space="preserve">2.10.3.1</w:t>
      </w:r>
      <w:r>
        <w:rPr>
          <w:rFonts w:hint="eastAsia"/>
          <w:lang w:val="en-US" w:eastAsia="zh-CN"/>
        </w:rPr>
        <w:t xml:space="preserve">5</w:t>
      </w:r>
      <w:r>
        <w:rPr>
          <w:rFonts w:hint="eastAsia"/>
        </w:rPr>
        <w:t xml:space="preserve">分液软件人机交互友好：分液工作站有全中文操作软件，可视化界面，支持手工编辑、下发样品瓶盘及样品管盘。</w:t>
      </w:r>
      <w:r/>
    </w:p>
    <w:p>
      <w:pPr>
        <w:pStyle w:val="966"/>
      </w:pPr>
      <w:r>
        <w:rPr>
          <w:rFonts w:hint="eastAsia"/>
        </w:rPr>
        <w:t xml:space="preserve">2.10.3.1</w:t>
      </w:r>
      <w:r>
        <w:rPr>
          <w:rFonts w:hint="eastAsia"/>
          <w:lang w:val="en-US" w:eastAsia="zh-CN"/>
        </w:rPr>
        <w:t xml:space="preserve">6</w:t>
      </w:r>
      <w:r>
        <w:rPr>
          <w:rFonts w:hint="eastAsia"/>
        </w:rPr>
        <w:t xml:space="preserve">清洗润洗功能：分液完成后会流程中自动进行清洗、排空；软件界面也可手动点击下发清洗、排空指令。</w:t>
      </w:r>
      <w:r/>
    </w:p>
    <w:p>
      <w:pPr>
        <w:pStyle w:val="966"/>
      </w:pPr>
      <w:r>
        <w:rPr>
          <w:rFonts w:hint="eastAsia"/>
        </w:rPr>
        <w:t xml:space="preserve">2.10.3.1</w:t>
      </w:r>
      <w:r>
        <w:rPr>
          <w:rFonts w:hint="eastAsia"/>
          <w:lang w:val="en-US" w:eastAsia="zh-CN"/>
        </w:rPr>
        <w:t xml:space="preserve">7</w:t>
      </w:r>
      <w:r>
        <w:rPr>
          <w:rFonts w:hint="eastAsia"/>
        </w:rPr>
        <w:t xml:space="preserve"> 智能规避部分人为因素导致的异常：可识别样品瓶内部水样量不足的情况并做作废处理；二维码未按规定粘贴的情况下能智能处理作废，不影响后续流程进行。</w:t>
      </w:r>
      <w:r/>
    </w:p>
    <w:p>
      <w:pPr>
        <w:pStyle w:val="966"/>
      </w:pPr>
      <w:r>
        <w:rPr>
          <w:rFonts w:hint="eastAsia"/>
        </w:rPr>
        <w:t xml:space="preserve">2.10.4 配置要求</w:t>
      </w:r>
      <w:r/>
    </w:p>
    <w:p>
      <w:pPr>
        <w:pStyle w:val="966"/>
      </w:pPr>
      <w:r>
        <w:rPr>
          <w:rFonts w:hint="eastAsia"/>
        </w:rPr>
        <w:t xml:space="preserve">工作站主机 1套、机械臂组件 1套、扫码模块 1套、开关盖模块 2套、抽液模块2套、分液模块2套、清洗模块2套、混匀模块2套、样品瓶盘6套、样品管盘6套、数据处理软件1套、电源线及通讯线1套。</w:t>
      </w:r>
      <w:r/>
    </w:p>
    <w:p>
      <w:pPr>
        <w:pStyle w:val="966"/>
        <w:rPr>
          <w:b/>
          <w:bCs/>
        </w:rPr>
      </w:pPr>
      <w:r>
        <w:rPr>
          <w:rFonts w:hint="eastAsia"/>
          <w:b/>
          <w:bCs/>
        </w:rPr>
        <w:t xml:space="preserve">2.11.全自动流转与进样单元</w:t>
      </w:r>
      <w:r/>
    </w:p>
    <w:p>
      <w:pPr>
        <w:pStyle w:val="966"/>
      </w:pPr>
      <w:r/>
      <w:bookmarkStart w:id="30" w:name="OLE_LINK20"/>
      <w:r>
        <w:rPr>
          <w:rFonts w:hint="eastAsia"/>
        </w:rPr>
        <w:t xml:space="preserve">2.11.1.用途要求</w:t>
      </w:r>
      <w:r/>
    </w:p>
    <w:p>
      <w:pPr>
        <w:pStyle w:val="966"/>
      </w:pPr>
      <w:r>
        <w:rPr>
          <w:rFonts w:hint="eastAsia"/>
        </w:rPr>
        <w:t xml:space="preserve">实现样品瓶和样品管在全自动分液单元和全自动水质分析仪器单元之间的流转及上下样。</w:t>
      </w:r>
      <w:r/>
    </w:p>
    <w:p>
      <w:pPr>
        <w:pStyle w:val="966"/>
      </w:pPr>
      <w:r>
        <w:rPr>
          <w:rFonts w:hint="eastAsia"/>
        </w:rPr>
        <w:t xml:space="preserve">2.11.2.工作条件</w:t>
      </w:r>
      <w:r/>
    </w:p>
    <w:p>
      <w:pPr>
        <w:pStyle w:val="966"/>
      </w:pPr>
      <w:r>
        <w:rPr>
          <w:rFonts w:hint="eastAsia"/>
        </w:rPr>
        <w:t xml:space="preserve">（1）供电电源：（220±22）VAC，（50±0.5）Hz，＜3000W；</w:t>
      </w:r>
      <w:r/>
    </w:p>
    <w:p>
      <w:pPr>
        <w:pStyle w:val="966"/>
      </w:pPr>
      <w:r>
        <w:rPr>
          <w:rFonts w:hint="eastAsia"/>
        </w:rPr>
        <w:t xml:space="preserve">（2）环境温度：(10～30)℃；</w:t>
      </w:r>
      <w:r/>
    </w:p>
    <w:p>
      <w:pPr>
        <w:pStyle w:val="966"/>
      </w:pPr>
      <w:r>
        <w:rPr>
          <w:rFonts w:hint="eastAsia"/>
        </w:rPr>
        <w:t xml:space="preserve">（3）环境湿度：(20～80)%RH。</w:t>
      </w:r>
      <w:r/>
    </w:p>
    <w:p>
      <w:pPr>
        <w:pStyle w:val="966"/>
      </w:pPr>
      <w:r>
        <w:rPr>
          <w:rFonts w:hint="eastAsia"/>
        </w:rPr>
        <w:t xml:space="preserve">2.11.3.轨道流转技术要求</w:t>
      </w:r>
      <w:r/>
    </w:p>
    <w:p>
      <w:pPr>
        <w:pStyle w:val="966"/>
      </w:pPr>
      <w:r>
        <w:rPr>
          <w:rFonts w:hint="eastAsia"/>
        </w:rPr>
        <w:t xml:space="preserve">2.11.3.1具备智能调度流转功能：根据各自动分析仪器单元的分析检测效率，智能调度样品管在自动分析仪器、分液单元样品管缓存位之间流转与进出功能；</w:t>
      </w:r>
      <w:r/>
    </w:p>
    <w:p>
      <w:pPr>
        <w:pStyle w:val="966"/>
      </w:pPr>
      <w:r>
        <w:rPr>
          <w:rFonts w:hint="eastAsia"/>
        </w:rPr>
        <w:t xml:space="preserve">2.11.3.2智能机械臂组件可全方位覆盖样品盘模块和分析仪器进样作业区域；机械臂技术参数要求如下： </w:t>
      </w:r>
      <w:r/>
    </w:p>
    <w:p>
      <w:pPr>
        <w:pStyle w:val="966"/>
      </w:pPr>
      <w:r>
        <w:rPr>
          <w:rFonts w:hint="eastAsia"/>
        </w:rPr>
        <w:t xml:space="preserve">（1）自由度：≥6；</w:t>
      </w:r>
      <w:r/>
    </w:p>
    <w:p>
      <w:pPr>
        <w:pStyle w:val="966"/>
      </w:pPr>
      <w:r>
        <w:rPr>
          <w:rFonts w:hint="eastAsia"/>
        </w:rPr>
        <w:t xml:space="preserve">（2）标准负载：≥5kg；</w:t>
      </w:r>
      <w:r/>
    </w:p>
    <w:p>
      <w:pPr>
        <w:pStyle w:val="966"/>
      </w:pPr>
      <w:r>
        <w:rPr>
          <w:rFonts w:hint="eastAsia"/>
        </w:rPr>
        <w:t xml:space="preserve">（3）工作半径：≥900mm；</w:t>
      </w:r>
      <w:r/>
    </w:p>
    <w:p>
      <w:pPr>
        <w:pStyle w:val="966"/>
      </w:pPr>
      <w:r>
        <w:rPr>
          <w:rFonts w:hint="eastAsia"/>
        </w:rPr>
        <w:t xml:space="preserve">（4）重复定位精度：≤±0.03mm；</w:t>
      </w:r>
      <w:r/>
    </w:p>
    <w:p>
      <w:pPr>
        <w:pStyle w:val="966"/>
      </w:pPr>
      <w:r>
        <w:rPr>
          <w:rFonts w:hint="eastAsia"/>
        </w:rPr>
        <w:t xml:space="preserve">（5）每个关节最快速度：≥180度/s。</w:t>
      </w:r>
      <w:r/>
    </w:p>
    <w:p>
      <w:pPr>
        <w:pStyle w:val="966"/>
      </w:pPr>
      <w:r>
        <w:rPr>
          <w:rFonts w:hint="eastAsia"/>
        </w:rPr>
        <w:t xml:space="preserve">2.11.3.3 智能上下样：抓取携带不同直径的样品管自动流转，可同时实现样品管自动上下样功能。</w:t>
      </w:r>
      <w:r/>
    </w:p>
    <w:p>
      <w:pPr>
        <w:pStyle w:val="966"/>
      </w:pPr>
      <w:r>
        <w:rPr>
          <w:rFonts w:hint="eastAsia"/>
        </w:rPr>
        <w:t xml:space="preserve">▲2.11.3.4</w:t>
      </w:r>
      <w:bookmarkStart w:id="31" w:name="_Hlk217489598"/>
      <w:r>
        <w:rPr>
          <w:rFonts w:hint="eastAsia"/>
          <w:lang w:val="en-US" w:eastAsia="zh-CN"/>
        </w:rPr>
        <w:t xml:space="preserve"> </w:t>
      </w:r>
      <w:bookmarkEnd w:id="31"/>
      <w:r/>
      <w:bookmarkStart w:id="32" w:name="_Hlk217489611"/>
      <w:r>
        <w:rPr>
          <w:rFonts w:hint="eastAsia"/>
        </w:rPr>
        <w:t xml:space="preserve">自由度机械臂数量：≥2个</w:t>
      </w:r>
      <w:r>
        <w:rPr>
          <w:rFonts w:hint="eastAsia"/>
          <w:lang w:eastAsia="zh-CN"/>
        </w:rPr>
        <w:t xml:space="preserve">；</w:t>
      </w:r>
      <w:r>
        <w:rPr>
          <w:rFonts w:hint="eastAsia"/>
          <w:lang w:val="en-US" w:eastAsia="zh-CN"/>
        </w:rPr>
        <w:t xml:space="preserve">6</w:t>
      </w:r>
      <w:r>
        <w:rPr>
          <w:rFonts w:hint="eastAsia"/>
        </w:rPr>
        <w:t xml:space="preserve">自由度机械臂一次搬运样品管数量：≥8个</w:t>
      </w:r>
      <w:r>
        <w:rPr>
          <w:rFonts w:hint="eastAsia"/>
          <w:lang w:eastAsia="zh-CN"/>
        </w:rPr>
        <w:t xml:space="preserve">；</w:t>
      </w:r>
      <w:r>
        <w:rPr>
          <w:rFonts w:hint="eastAsia"/>
          <w:b/>
          <w:bCs/>
        </w:rPr>
        <w:t xml:space="preserve">（提供全自动流转与进样单元一次性搬运至少8个样品管的清晰实物图</w:t>
      </w:r>
      <w:r>
        <w:rPr>
          <w:rFonts w:hint="eastAsia"/>
          <w:b/>
          <w:bCs/>
          <w:lang w:val="en-US" w:eastAsia="zh-CN"/>
        </w:rPr>
        <w:t xml:space="preserve">及</w:t>
      </w:r>
      <w:r>
        <w:rPr>
          <w:rFonts w:hint="eastAsia"/>
          <w:b/>
          <w:bCs/>
        </w:rPr>
        <w:t xml:space="preserve">全自动流转与进样单元同时具备至少2个机械臂的清晰实物图并加盖投标人公章）</w:t>
      </w:r>
      <w:bookmarkEnd w:id="32"/>
      <w:r>
        <w:rPr>
          <w:rFonts w:hint="eastAsia"/>
        </w:rPr>
        <w:t xml:space="preserve">；</w:t>
      </w:r>
      <w:r/>
    </w:p>
    <w:p>
      <w:pPr>
        <w:pStyle w:val="966"/>
      </w:pPr>
      <w:r>
        <w:rPr>
          <w:rFonts w:hint="eastAsia"/>
        </w:rPr>
        <w:t xml:space="preserve">2.11.3.</w:t>
      </w:r>
      <w:r>
        <w:rPr>
          <w:rFonts w:hint="eastAsia"/>
          <w:lang w:val="en-US" w:eastAsia="zh-CN"/>
        </w:rPr>
        <w:t xml:space="preserve">5</w:t>
      </w:r>
      <w:r>
        <w:rPr>
          <w:rFonts w:hint="eastAsia"/>
        </w:rPr>
        <w:t xml:space="preserve"> 智能夹爪：以模拟人手的抓取方式控制夹爪，确保不同样品管和样品瓶的抓取保持竖直，同时夹爪具有断电保持功能。</w:t>
      </w:r>
      <w:r/>
    </w:p>
    <w:p>
      <w:pPr>
        <w:pStyle w:val="966"/>
        <w:rPr>
          <w:b/>
          <w:bCs/>
        </w:rPr>
      </w:pPr>
      <w:r>
        <w:rPr>
          <w:rFonts w:hint="eastAsia"/>
        </w:rPr>
        <w:t xml:space="preserve">▲2.11.3.</w:t>
      </w:r>
      <w:r>
        <w:rPr>
          <w:rFonts w:hint="eastAsia"/>
          <w:lang w:val="en-US" w:eastAsia="zh-CN"/>
        </w:rPr>
        <w:t xml:space="preserve">6</w:t>
      </w:r>
      <w:r>
        <w:rPr>
          <w:rFonts w:hint="eastAsia"/>
        </w:rPr>
        <w:t xml:space="preserve">单管抓取模式：</w:t>
      </w:r>
      <w:r>
        <w:t xml:space="preserve">为兼容</w:t>
      </w:r>
      <w:r>
        <w:rPr>
          <w:rFonts w:hint="eastAsia"/>
        </w:rPr>
        <w:t xml:space="preserve">各仪器</w:t>
      </w:r>
      <w:r>
        <w:t xml:space="preserve">不同的自动进样器或样品盘上下样</w:t>
      </w:r>
      <w:r>
        <w:rPr>
          <w:rFonts w:hint="eastAsia"/>
        </w:rPr>
        <w:t xml:space="preserve">，夹爪可单管抓取到仪器的自动进样器或样品瓶上下样，</w:t>
      </w:r>
      <w:r>
        <w:t xml:space="preserve">不采用整托盘</w:t>
      </w:r>
      <w:r>
        <w:rPr>
          <w:rFonts w:hint="eastAsia"/>
        </w:rPr>
        <w:t xml:space="preserve">上下样</w:t>
      </w:r>
      <w:r>
        <w:t xml:space="preserve">的方式</w:t>
      </w:r>
      <w:r>
        <w:rPr>
          <w:rFonts w:hint="eastAsia"/>
        </w:rPr>
        <w:t xml:space="preserve">和机械臂二次转移的方式</w:t>
      </w:r>
      <w:r>
        <w:rPr>
          <w:b/>
          <w:bCs/>
        </w:rPr>
        <w:t xml:space="preserve">（提供设计方案说明及实际直接上下样</w:t>
      </w:r>
      <w:r>
        <w:rPr>
          <w:rFonts w:hint="eastAsia"/>
          <w:b/>
          <w:bCs/>
        </w:rPr>
        <w:t xml:space="preserve">实物</w:t>
      </w:r>
      <w:r>
        <w:rPr>
          <w:b/>
          <w:bCs/>
        </w:rPr>
        <w:t xml:space="preserve">照片</w:t>
      </w:r>
      <w:r>
        <w:rPr>
          <w:rFonts w:hint="eastAsia"/>
          <w:b/>
          <w:bCs/>
          <w:lang w:val="en-US" w:eastAsia="zh-CN"/>
        </w:rPr>
        <w:t xml:space="preserve">并加盖投标人公章</w:t>
      </w:r>
      <w:r>
        <w:rPr>
          <w:b/>
          <w:bCs/>
        </w:rPr>
        <w:t xml:space="preserve">）</w:t>
      </w:r>
      <w:r/>
    </w:p>
    <w:p>
      <w:pPr>
        <w:pStyle w:val="966"/>
      </w:pPr>
      <w:r>
        <w:rPr>
          <w:rFonts w:hint="eastAsia"/>
        </w:rPr>
        <w:t xml:space="preserve">2.11.3.</w:t>
      </w:r>
      <w:r>
        <w:rPr>
          <w:rFonts w:hint="eastAsia"/>
          <w:lang w:val="en-US" w:eastAsia="zh-CN"/>
        </w:rPr>
        <w:t xml:space="preserve">7</w:t>
      </w:r>
      <w:r>
        <w:rPr>
          <w:rFonts w:hint="eastAsia"/>
        </w:rPr>
        <w:t xml:space="preserve"> 快速搬运：自动上下样效率≥40个/小时。</w:t>
      </w:r>
      <w:r/>
    </w:p>
    <w:p>
      <w:pPr>
        <w:pStyle w:val="966"/>
      </w:pPr>
      <w:r>
        <w:rPr>
          <w:rFonts w:hint="eastAsia"/>
        </w:rPr>
        <w:t xml:space="preserve">2.11.3.</w:t>
      </w:r>
      <w:r>
        <w:rPr>
          <w:rFonts w:hint="eastAsia"/>
          <w:lang w:val="en-US" w:eastAsia="zh-CN"/>
        </w:rPr>
        <w:t xml:space="preserve">8</w:t>
      </w:r>
      <w:r>
        <w:rPr>
          <w:rFonts w:hint="eastAsia"/>
        </w:rPr>
        <w:t xml:space="preserve">系统具备故障诊断和报警功能，诊断信息和报警信息可自动上传至管控系统。</w:t>
      </w:r>
      <w:r/>
    </w:p>
    <w:p>
      <w:pPr>
        <w:pStyle w:val="966"/>
      </w:pPr>
      <w:r>
        <w:rPr>
          <w:rFonts w:hint="eastAsia"/>
        </w:rPr>
        <w:t xml:space="preserve">2.11.4.复合AGV机器人技术要求</w:t>
      </w:r>
      <w:r/>
    </w:p>
    <w:p>
      <w:pPr>
        <w:pStyle w:val="966"/>
      </w:pPr>
      <w:r>
        <w:rPr>
          <w:rFonts w:hint="eastAsia"/>
        </w:rPr>
        <w:t xml:space="preserve">2.11.4.1 车体为双轮差速，运动平稳性强；</w:t>
      </w:r>
      <w:r/>
    </w:p>
    <w:p>
      <w:pPr>
        <w:pStyle w:val="966"/>
      </w:pPr>
      <w:r>
        <w:rPr>
          <w:rFonts w:hint="eastAsia"/>
        </w:rPr>
        <w:t xml:space="preserve">2.11.4.2</w:t>
      </w:r>
      <w:bookmarkStart w:id="33" w:name="OLE_LINK14"/>
      <w:r>
        <w:rPr>
          <w:rFonts w:hint="eastAsia"/>
        </w:rPr>
        <w:t xml:space="preserve">具有自主定位、规划最优路径</w:t>
      </w:r>
      <w:bookmarkEnd w:id="33"/>
      <w:r>
        <w:rPr>
          <w:rFonts w:hint="eastAsia"/>
        </w:rPr>
        <w:t xml:space="preserve">；</w:t>
      </w:r>
      <w:r/>
    </w:p>
    <w:p>
      <w:pPr>
        <w:pStyle w:val="966"/>
      </w:pPr>
      <w:r>
        <w:rPr>
          <w:rFonts w:hint="eastAsia"/>
        </w:rPr>
        <w:t xml:space="preserve">2.11.4.3激光导航方式，可实现自主导航、自主航行；</w:t>
      </w:r>
      <w:r>
        <w:t xml:space="preserve"> </w:t>
      </w:r>
      <w:r/>
    </w:p>
    <w:p>
      <w:pPr>
        <w:pStyle w:val="966"/>
      </w:pPr>
      <w:r>
        <w:rPr>
          <w:rFonts w:hint="eastAsia"/>
        </w:rPr>
        <w:t xml:space="preserve">2.11.4.4底盘负载能力≥150Kg；</w:t>
      </w:r>
      <w:r>
        <w:t xml:space="preserve"> </w:t>
      </w:r>
      <w:r/>
    </w:p>
    <w:p>
      <w:pPr>
        <w:pStyle w:val="966"/>
      </w:pPr>
      <w:r>
        <w:rPr>
          <w:rFonts w:hint="eastAsia"/>
        </w:rPr>
        <w:t xml:space="preserve">2.11.4.5运行速度：≥1m/s；</w:t>
      </w:r>
      <w:r/>
    </w:p>
    <w:p>
      <w:pPr>
        <w:pStyle w:val="966"/>
      </w:pPr>
      <w:r>
        <w:rPr>
          <w:rFonts w:hint="eastAsia"/>
        </w:rPr>
        <w:t xml:space="preserve">2.11.4.6 支持自动充电；</w:t>
      </w:r>
      <w:r/>
    </w:p>
    <w:p>
      <w:pPr>
        <w:pStyle w:val="966"/>
      </w:pPr>
      <w:r>
        <w:rPr>
          <w:rFonts w:hint="eastAsia"/>
        </w:rPr>
        <w:t xml:space="preserve">2.11.4.7电池保护：具有过充、过放电、防水及电池过热保护；</w:t>
      </w:r>
      <w:r/>
    </w:p>
    <w:p>
      <w:pPr>
        <w:pStyle w:val="966"/>
      </w:pPr>
      <w:r>
        <w:rPr>
          <w:rFonts w:hint="eastAsia"/>
        </w:rPr>
        <w:t xml:space="preserve">2.11.4.8 支持自动开门及进出电梯；</w:t>
      </w:r>
      <w:r/>
    </w:p>
    <w:p>
      <w:pPr>
        <w:pStyle w:val="966"/>
      </w:pPr>
      <w:r>
        <w:rPr>
          <w:rFonts w:hint="eastAsia"/>
        </w:rPr>
        <w:t xml:space="preserve">2.11.4.9 抓取方式：机械臂+电动夹爪方式实现自动接样；</w:t>
      </w:r>
      <w:r/>
    </w:p>
    <w:p>
      <w:pPr>
        <w:pStyle w:val="966"/>
      </w:pPr>
      <w:r>
        <w:rPr>
          <w:rFonts w:hint="eastAsia"/>
        </w:rPr>
        <w:t xml:space="preserve">2.11.4.10 臂展尺寸：≥920mm；</w:t>
      </w:r>
      <w:r>
        <w:t xml:space="preserve"> </w:t>
      </w:r>
      <w:r/>
    </w:p>
    <w:p>
      <w:pPr>
        <w:pStyle w:val="966"/>
      </w:pPr>
      <w:r>
        <w:rPr>
          <w:rFonts w:hint="eastAsia"/>
        </w:rPr>
        <w:t xml:space="preserve">2.11.4.11 机械臂负载重量：≥5kg；</w:t>
      </w:r>
      <w:r/>
    </w:p>
    <w:p>
      <w:pPr>
        <w:pStyle w:val="966"/>
      </w:pPr>
      <w:r>
        <w:rPr>
          <w:rFonts w:hint="eastAsia"/>
        </w:rPr>
        <w:t xml:space="preserve">2.11.4.12 二次定位：机械臂末端可实现二次定位，定位精度±0.5mm；</w:t>
      </w:r>
      <w:r/>
    </w:p>
    <w:p>
      <w:pPr>
        <w:pStyle w:val="966"/>
      </w:pPr>
      <w:r>
        <w:rPr>
          <w:rFonts w:hint="eastAsia"/>
        </w:rPr>
        <w:t xml:space="preserve">2.11.5.配置要求</w:t>
      </w:r>
      <w:r/>
    </w:p>
    <w:p>
      <w:pPr>
        <w:pStyle w:val="966"/>
      </w:pPr>
      <w:r/>
      <w:bookmarkStart w:id="34" w:name="_Hlk217489684"/>
      <w:r>
        <w:rPr>
          <w:rFonts w:hint="eastAsia"/>
        </w:rPr>
        <w:t xml:space="preserve">轨道 1套、移动载台 1套、机械臂组件 2套、夹爪 2套、自动化控制软件1套、电源线及通讯线 1套、复合AGV机器人（带六轴机械臂）及配套充电及无线通讯设施1套。</w:t>
      </w:r>
      <w:bookmarkEnd w:id="30"/>
      <w:r/>
      <w:bookmarkEnd w:id="34"/>
      <w:r/>
      <w:r/>
    </w:p>
    <w:p>
      <w:pPr>
        <w:pStyle w:val="966"/>
        <w:rPr>
          <w:b/>
          <w:bCs/>
        </w:rPr>
      </w:pPr>
      <w:r>
        <w:rPr>
          <w:rFonts w:hint="eastAsia"/>
          <w:b/>
          <w:bCs/>
        </w:rPr>
        <w:t xml:space="preserve">2.12.自动控制与管理单元（含硬件和软件）</w:t>
      </w:r>
      <w:r/>
    </w:p>
    <w:p>
      <w:pPr>
        <w:pStyle w:val="966"/>
      </w:pPr>
      <w:r/>
      <w:bookmarkStart w:id="35" w:name="_Hlk217489708"/>
      <w:r>
        <w:rPr>
          <w:rFonts w:hint="eastAsia"/>
        </w:rPr>
        <w:t xml:space="preserve">2.12.1.软件功能要求</w:t>
      </w:r>
      <w:r/>
    </w:p>
    <w:p>
      <w:pPr>
        <w:pStyle w:val="966"/>
      </w:pPr>
      <w:r>
        <w:rPr>
          <w:rFonts w:hint="eastAsia"/>
        </w:rPr>
        <w:t xml:space="preserve">（1）中央控制系统：可实现实验室全流程集中控制功能。智能识别并自动指派分析方法、分析仪器，自动、实时采集样品瓶流转过程中样品信息、仪器设备状态、监测数据等信息，可实现水质智能分析实验室统一集中控制及展示、实验室信息全流程管理等功能；</w:t>
      </w:r>
      <w:r/>
    </w:p>
    <w:p>
      <w:pPr>
        <w:pStyle w:val="966"/>
      </w:pPr>
      <w:r>
        <w:rPr>
          <w:rFonts w:hint="eastAsia"/>
        </w:rPr>
        <w:t xml:space="preserve">（2）系统应是成熟稳定的系统，必须在水质监测实验室领域有实施成功过的案例，能够根据实验室实际的业务需求快速定制完成系统的开发； </w:t>
      </w:r>
      <w:r/>
    </w:p>
    <w:p>
      <w:pPr>
        <w:pStyle w:val="966"/>
      </w:pPr>
      <w:r/>
      <w:bookmarkStart w:id="36" w:name="OLE_LINK6"/>
      <w:r/>
      <w:bookmarkStart w:id="37" w:name="OLE_LINK5"/>
      <w:r>
        <w:rPr>
          <w:rFonts w:hint="eastAsia"/>
        </w:rPr>
        <w:t xml:space="preserve">（3）系统间的数据接口采用标准化的统一接口模式，便于实现系统间的信息共享；</w:t>
      </w:r>
      <w:bookmarkEnd w:id="36"/>
      <w:r/>
      <w:bookmarkEnd w:id="37"/>
      <w:r/>
      <w:r/>
    </w:p>
    <w:p>
      <w:pPr>
        <w:pStyle w:val="966"/>
      </w:pPr>
      <w:r>
        <w:rPr>
          <w:rFonts w:hint="eastAsia"/>
        </w:rPr>
        <w:t xml:space="preserve">（4）系统设计要保证网络、使用操作方面均达到可靠及稳定的相关技术要求，关键数据采用冗余技术和故障处理技术，保障数据传输的高可靠性和系统运行安全；</w:t>
      </w:r>
      <w:r/>
    </w:p>
    <w:p>
      <w:pPr>
        <w:pStyle w:val="966"/>
      </w:pPr>
      <w:r>
        <w:rPr>
          <w:rFonts w:hint="eastAsia"/>
        </w:rPr>
        <w:t xml:space="preserve">（5）系统应易分析，易升级，易测试，稳定性高，业务流程可重组；</w:t>
      </w:r>
      <w:r/>
    </w:p>
    <w:p>
      <w:pPr>
        <w:pStyle w:val="966"/>
      </w:pPr>
      <w:r>
        <w:rPr>
          <w:rFonts w:hint="eastAsia"/>
        </w:rPr>
        <w:t xml:space="preserve">（6）系统涉及到的数据，必须严格按照权限级别进行控制，防止数据在传输、储存过程中泄露，保证数据安全；</w:t>
      </w:r>
      <w:r/>
    </w:p>
    <w:p>
      <w:pPr>
        <w:pStyle w:val="966"/>
      </w:pPr>
      <w:r>
        <w:rPr>
          <w:rFonts w:hint="eastAsia"/>
        </w:rPr>
        <w:t xml:space="preserve">2.12.2.功能需求</w:t>
      </w:r>
      <w:r/>
    </w:p>
    <w:p>
      <w:pPr>
        <w:pStyle w:val="966"/>
      </w:pPr>
      <w:r>
        <w:rPr>
          <w:rFonts w:hint="eastAsia"/>
        </w:rPr>
        <w:t xml:space="preserve">（1）用户权限管理：可同时注册多个管理员账号；管理员账号可以分配不一样的使用权限；实现用户的分级管理功能；</w:t>
      </w:r>
      <w:r/>
    </w:p>
    <w:p>
      <w:pPr>
        <w:pStyle w:val="966"/>
      </w:pPr>
      <w:r>
        <w:rPr>
          <w:rFonts w:hint="eastAsia"/>
        </w:rPr>
        <w:t xml:space="preserve">（2）系统配置管理：需包含有数据字典、因子类别、测量因子、仪表类型、仪表配置、通讯配置、报警模块、日志模块等可配置功能；</w:t>
      </w:r>
      <w:r/>
    </w:p>
    <w:p>
      <w:pPr>
        <w:pStyle w:val="966"/>
      </w:pPr>
      <w:r>
        <w:rPr>
          <w:rFonts w:hint="eastAsia"/>
        </w:rPr>
        <w:t xml:space="preserve">（3）任务分析管理：需包含接样信息、样品方法、任务设置、实验室分析管理系统、结果审核功能；</w:t>
      </w:r>
      <w:r/>
    </w:p>
    <w:p>
      <w:pPr>
        <w:pStyle w:val="966"/>
      </w:pPr>
      <w:r>
        <w:rPr>
          <w:rFonts w:hint="eastAsia"/>
        </w:rPr>
        <w:t xml:space="preserve">（4）质控管理：可录入空白样、质控样、加标回收样、标样、校准点核查样五种类型质控手段，保障实验室数据准确性，并能审核后上报给信息化平台进行质控展示；</w:t>
      </w:r>
      <w:r/>
    </w:p>
    <w:p>
      <w:pPr>
        <w:pStyle w:val="966"/>
      </w:pPr>
      <w:r>
        <w:rPr>
          <w:rFonts w:hint="eastAsia"/>
        </w:rPr>
        <w:t xml:space="preserve">（5）信息查询：包括样品流转的实时状态信息、各设备/系统运行状态信息、样品流转载信息、检测结果信息等信息都是在中央控制系统集中存储，方便用户查看和审核；</w:t>
      </w:r>
      <w:r/>
    </w:p>
    <w:p>
      <w:pPr>
        <w:pStyle w:val="966"/>
      </w:pPr>
      <w:r>
        <w:rPr>
          <w:rFonts w:hint="eastAsia"/>
        </w:rPr>
        <w:t xml:space="preserve">（6）实验室系统状态信息实时监测：包括实验室内部所有设备的运行状态、仪器运行状态、样品数量情况等相关信息的实施监测；</w:t>
      </w:r>
      <w:r/>
    </w:p>
    <w:p>
      <w:pPr>
        <w:pStyle w:val="966"/>
      </w:pPr>
      <w:r>
        <w:rPr>
          <w:rFonts w:hint="eastAsia"/>
        </w:rPr>
        <w:t xml:space="preserve">（7）水样信息录入：系统应支持LIMS系统信息导入、文件信息导入和手工直接在系统内录入水样信息、质控样信息，支持二维码打印；</w:t>
      </w:r>
      <w:r/>
    </w:p>
    <w:p>
      <w:pPr>
        <w:pStyle w:val="966"/>
      </w:pPr>
      <w:r>
        <w:rPr>
          <w:rFonts w:hint="eastAsia"/>
        </w:rPr>
        <w:t xml:space="preserve">（8）全过程信息管理：全过程基于唯一样品识别码对流转过程中样品信息进行智能识别、数据采集、过程集中监测、信息显示、数据存储等功能；</w:t>
      </w:r>
      <w:r/>
    </w:p>
    <w:p>
      <w:pPr>
        <w:pStyle w:val="966"/>
      </w:pPr>
      <w:r>
        <w:rPr>
          <w:rFonts w:hint="eastAsia"/>
        </w:rPr>
        <w:t xml:space="preserve">（9）信息处理效率：信息处理速度应达到毫秒级且各个分析仪器信息由各自独立线程处理，可扩展支持几十甚至上百个站点同时运行，满足水质智能分析实验室的信息处理需求；</w:t>
      </w:r>
      <w:r/>
    </w:p>
    <w:p>
      <w:pPr>
        <w:pStyle w:val="966"/>
      </w:pPr>
      <w:r>
        <w:rPr>
          <w:rFonts w:hint="eastAsia"/>
        </w:rPr>
        <w:t xml:space="preserve">（10）检测结果审核：支持汇总各站点上报的检测结果，同时支持自动审核和人工审核。审核过程中的异常数据，具有分类快速识别标识；</w:t>
      </w:r>
      <w:r/>
    </w:p>
    <w:p>
      <w:pPr>
        <w:pStyle w:val="966"/>
      </w:pPr>
      <w:r>
        <w:rPr>
          <w:rFonts w:hint="eastAsia"/>
        </w:rPr>
        <w:t xml:space="preserve">（11）系统支持各分析模块自动化联用，也可支持各分析仪器独立使用模式，系统软件可配置；</w:t>
      </w:r>
      <w:r/>
    </w:p>
    <w:p>
      <w:pPr>
        <w:pStyle w:val="966"/>
      </w:pPr>
      <w:r>
        <w:rPr>
          <w:rFonts w:hint="eastAsia"/>
        </w:rPr>
        <w:t xml:space="preserve">（12）报警信息汇总和提醒：系统具有运行系统状态报警且显示在实时监控界面。出现部分严重的故障时，具有声光电报警功能，提醒实验室管理人员及时处理故障，保证实验室正常运行；</w:t>
      </w:r>
      <w:r/>
    </w:p>
    <w:p>
      <w:pPr>
        <w:pStyle w:val="966"/>
      </w:pPr>
      <w:r>
        <w:rPr>
          <w:rFonts w:hint="eastAsia"/>
        </w:rPr>
        <w:t xml:space="preserve">（13）纯水、废液量告警功能：仪器检测到纯水少于安全容量时，发出告警信息，提示补充纯水；仪器检测到废水多于安全容量时，发出告警信息，提示更换废水桶；</w:t>
      </w:r>
      <w:r/>
    </w:p>
    <w:p>
      <w:pPr>
        <w:pStyle w:val="966"/>
      </w:pPr>
      <w:r>
        <w:rPr>
          <w:rFonts w:hint="eastAsia"/>
        </w:rPr>
        <w:t xml:space="preserve">（14）系统信息化展示平台：能够展示实时分析结果、样品采样信息、质控结果、视频监控、因子运行统计、采样断面管理、水质限值管理等等。</w:t>
      </w:r>
      <w:r/>
    </w:p>
    <w:p>
      <w:pPr>
        <w:pStyle w:val="966"/>
      </w:pPr>
      <w:r>
        <w:rPr>
          <w:rFonts w:hint="eastAsia"/>
        </w:rPr>
        <w:t xml:space="preserve">2.12.3 配置要求</w:t>
      </w:r>
      <w:r/>
    </w:p>
    <w:p>
      <w:pPr>
        <w:pStyle w:val="966"/>
      </w:pPr>
      <w:r>
        <w:rPr>
          <w:rFonts w:hint="eastAsia"/>
        </w:rPr>
        <w:t xml:space="preserve">控制与管理工作站软硬件1套、展示大屏1套、交换机1台、机柜1台。</w:t>
      </w:r>
      <w:bookmarkEnd w:id="35"/>
      <w:r/>
      <w:r/>
    </w:p>
    <w:p>
      <w:pPr>
        <w:pStyle w:val="966"/>
        <w:rPr>
          <w:b w:val="0"/>
          <w:bCs w:val="0"/>
        </w:rPr>
      </w:pPr>
      <w:r/>
      <w:bookmarkStart w:id="38" w:name="_Toc1915"/>
      <w:r>
        <w:rPr>
          <w:rFonts w:hint="eastAsia"/>
          <w:b w:val="0"/>
          <w:bCs w:val="0"/>
        </w:rPr>
        <w:t xml:space="preserve">2.1</w:t>
      </w:r>
      <w:r>
        <w:rPr>
          <w:rFonts w:hint="eastAsia"/>
          <w:b w:val="0"/>
          <w:bCs w:val="0"/>
          <w:lang w:val="en-US" w:eastAsia="zh-CN"/>
        </w:rPr>
        <w:t xml:space="preserve">2.4</w:t>
      </w:r>
      <w:r>
        <w:rPr>
          <w:rFonts w:hint="eastAsia"/>
          <w:b w:val="0"/>
          <w:bCs w:val="0"/>
        </w:rPr>
        <w:t xml:space="preserve">.</w:t>
      </w:r>
      <w:r>
        <w:rPr>
          <w:rFonts w:hint="eastAsia"/>
          <w:b w:val="0"/>
          <w:bCs w:val="0"/>
          <w:lang w:val="en-US" w:eastAsia="zh-CN"/>
        </w:rPr>
        <w:t xml:space="preserve">系统</w:t>
      </w:r>
      <w:r>
        <w:rPr>
          <w:rFonts w:hint="eastAsia"/>
          <w:b w:val="0"/>
          <w:bCs w:val="0"/>
        </w:rPr>
        <w:t xml:space="preserve">辅助</w:t>
      </w:r>
      <w:bookmarkEnd w:id="38"/>
      <w:r>
        <w:rPr>
          <w:rFonts w:hint="eastAsia"/>
          <w:b w:val="0"/>
          <w:bCs w:val="0"/>
        </w:rPr>
        <w:t xml:space="preserve">设施</w:t>
      </w:r>
      <w:r/>
    </w:p>
    <w:p>
      <w:pPr>
        <w:pStyle w:val="966"/>
        <w:rPr>
          <w:b w:val="0"/>
          <w:bCs w:val="0"/>
        </w:rPr>
      </w:pPr>
      <w:r>
        <w:rPr>
          <w:rFonts w:hint="eastAsia"/>
          <w:b w:val="0"/>
          <w:bCs w:val="0"/>
        </w:rPr>
        <w:t xml:space="preserve">2.1</w:t>
      </w:r>
      <w:r>
        <w:rPr>
          <w:rFonts w:hint="eastAsia"/>
          <w:b w:val="0"/>
          <w:bCs w:val="0"/>
          <w:lang w:val="en-US" w:eastAsia="zh-CN"/>
        </w:rPr>
        <w:t xml:space="preserve">2</w:t>
      </w:r>
      <w:r>
        <w:rPr>
          <w:rFonts w:hint="eastAsia"/>
          <w:b w:val="0"/>
          <w:bCs w:val="0"/>
        </w:rPr>
        <w:t xml:space="preserve">.</w:t>
      </w:r>
      <w:r>
        <w:rPr>
          <w:rFonts w:hint="eastAsia"/>
          <w:b w:val="0"/>
          <w:bCs w:val="0"/>
          <w:lang w:val="en-US" w:eastAsia="zh-CN"/>
        </w:rPr>
        <w:t xml:space="preserve">4.</w:t>
      </w:r>
      <w:r>
        <w:rPr>
          <w:rFonts w:hint="eastAsia"/>
          <w:b w:val="0"/>
          <w:bCs w:val="0"/>
        </w:rPr>
        <w:t xml:space="preserve">1配置清单</w:t>
      </w:r>
      <w:r/>
    </w:p>
    <w:p>
      <w:pPr>
        <w:pStyle w:val="966"/>
        <w:rPr>
          <w:b w:val="0"/>
          <w:bCs w:val="0"/>
        </w:rPr>
      </w:pPr>
      <w:r>
        <w:rPr>
          <w:rFonts w:hint="eastAsia"/>
          <w:b w:val="0"/>
          <w:bCs w:val="0"/>
        </w:rPr>
        <w:t xml:space="preserve">提供系统安装实施、运行相关工具、辅助设备（提供详细清单，包括但不限于样品盘架、空压机、二维码生成器、扫码枪、监控、全自动纯水供应系统等设备）。</w:t>
      </w:r>
      <w:r/>
    </w:p>
    <w:p>
      <w:pPr>
        <w:pStyle w:val="966"/>
        <w:rPr>
          <w:b w:val="0"/>
          <w:bCs w:val="0"/>
        </w:rPr>
      </w:pPr>
      <w:r>
        <w:rPr>
          <w:rFonts w:hint="eastAsia"/>
          <w:b w:val="0"/>
          <w:bCs w:val="0"/>
        </w:rPr>
        <w:t xml:space="preserve">2.1</w:t>
      </w:r>
      <w:r>
        <w:rPr>
          <w:rFonts w:hint="eastAsia"/>
          <w:b w:val="0"/>
          <w:bCs w:val="0"/>
          <w:lang w:val="en-US" w:eastAsia="zh-CN"/>
        </w:rPr>
        <w:t xml:space="preserve">2</w:t>
      </w:r>
      <w:r>
        <w:rPr>
          <w:rFonts w:hint="eastAsia"/>
          <w:b w:val="0"/>
          <w:bCs w:val="0"/>
        </w:rPr>
        <w:t xml:space="preserve">.</w:t>
      </w:r>
      <w:r>
        <w:rPr>
          <w:rFonts w:hint="eastAsia"/>
          <w:b w:val="0"/>
          <w:bCs w:val="0"/>
          <w:lang w:val="en-US" w:eastAsia="zh-CN"/>
        </w:rPr>
        <w:t xml:space="preserve">4.2.</w:t>
      </w:r>
      <w:r>
        <w:rPr>
          <w:rFonts w:hint="eastAsia"/>
          <w:b w:val="0"/>
          <w:bCs w:val="0"/>
        </w:rPr>
        <w:t xml:space="preserve">全自动纯水供应系统</w:t>
      </w:r>
      <w:r/>
    </w:p>
    <w:p>
      <w:pPr>
        <w:pStyle w:val="966"/>
        <w:rPr>
          <w:b w:val="0"/>
          <w:bCs w:val="0"/>
        </w:rPr>
      </w:pPr>
      <w:r>
        <w:rPr>
          <w:rFonts w:hint="eastAsia"/>
          <w:b w:val="0"/>
          <w:bCs w:val="0"/>
        </w:rPr>
        <w:t xml:space="preserve">2.1</w:t>
      </w:r>
      <w:r>
        <w:rPr>
          <w:rFonts w:hint="eastAsia"/>
          <w:b w:val="0"/>
          <w:bCs w:val="0"/>
          <w:lang w:val="en-US" w:eastAsia="zh-CN"/>
        </w:rPr>
        <w:t xml:space="preserve">2</w:t>
      </w:r>
      <w:r>
        <w:rPr>
          <w:rFonts w:hint="eastAsia"/>
          <w:b w:val="0"/>
          <w:bCs w:val="0"/>
        </w:rPr>
        <w:t xml:space="preserve">.</w:t>
      </w:r>
      <w:r>
        <w:rPr>
          <w:rFonts w:hint="eastAsia"/>
          <w:b w:val="0"/>
          <w:bCs w:val="0"/>
          <w:lang w:val="en-US" w:eastAsia="zh-CN"/>
        </w:rPr>
        <w:t xml:space="preserve">4.2.</w:t>
      </w:r>
      <w:r>
        <w:rPr>
          <w:rFonts w:hint="eastAsia"/>
          <w:b w:val="0"/>
          <w:bCs w:val="0"/>
        </w:rPr>
        <w:t xml:space="preserve">1. 用途要求</w:t>
      </w:r>
      <w:r/>
    </w:p>
    <w:p>
      <w:pPr>
        <w:pStyle w:val="966"/>
        <w:rPr>
          <w:b w:val="0"/>
          <w:bCs w:val="0"/>
        </w:rPr>
      </w:pPr>
      <w:r>
        <w:rPr>
          <w:rFonts w:hint="eastAsia"/>
          <w:b w:val="0"/>
          <w:bCs w:val="0"/>
        </w:rPr>
        <w:t xml:space="preserve">用于自动分液单元、自动分析仪器单元各设备和仪器所需纯水的自动供应。</w:t>
      </w:r>
      <w:r/>
    </w:p>
    <w:p>
      <w:pPr>
        <w:pStyle w:val="966"/>
        <w:rPr>
          <w:b w:val="0"/>
          <w:bCs w:val="0"/>
        </w:rPr>
      </w:pPr>
      <w:r>
        <w:rPr>
          <w:rFonts w:hint="eastAsia"/>
          <w:b w:val="0"/>
          <w:bCs w:val="0"/>
        </w:rPr>
        <w:t xml:space="preserve">2.1</w:t>
      </w:r>
      <w:r>
        <w:rPr>
          <w:rFonts w:hint="eastAsia"/>
          <w:b w:val="0"/>
          <w:bCs w:val="0"/>
          <w:lang w:val="en-US" w:eastAsia="zh-CN"/>
        </w:rPr>
        <w:t xml:space="preserve">2</w:t>
      </w:r>
      <w:r>
        <w:rPr>
          <w:rFonts w:hint="eastAsia"/>
          <w:b w:val="0"/>
          <w:bCs w:val="0"/>
        </w:rPr>
        <w:t xml:space="preserve">.</w:t>
      </w:r>
      <w:r>
        <w:rPr>
          <w:rFonts w:hint="eastAsia"/>
          <w:b w:val="0"/>
          <w:bCs w:val="0"/>
          <w:lang w:val="en-US" w:eastAsia="zh-CN"/>
        </w:rPr>
        <w:t xml:space="preserve">4.2.</w:t>
      </w:r>
      <w:r>
        <w:rPr>
          <w:rFonts w:hint="eastAsia"/>
          <w:b w:val="0"/>
          <w:bCs w:val="0"/>
        </w:rPr>
        <w:t xml:space="preserve">2.技术要求</w:t>
      </w:r>
      <w:r/>
    </w:p>
    <w:p>
      <w:pPr>
        <w:pStyle w:val="966"/>
        <w:rPr>
          <w:b w:val="0"/>
          <w:bCs w:val="0"/>
        </w:rPr>
      </w:pPr>
      <w:r>
        <w:rPr>
          <w:rFonts w:hint="eastAsia"/>
          <w:b w:val="0"/>
          <w:bCs w:val="0"/>
        </w:rPr>
        <w:t xml:space="preserve">2.1</w:t>
      </w:r>
      <w:r>
        <w:rPr>
          <w:rFonts w:hint="eastAsia"/>
          <w:b w:val="0"/>
          <w:bCs w:val="0"/>
          <w:lang w:val="en-US" w:eastAsia="zh-CN"/>
        </w:rPr>
        <w:t xml:space="preserve">2</w:t>
      </w:r>
      <w:r>
        <w:rPr>
          <w:rFonts w:hint="eastAsia"/>
          <w:b w:val="0"/>
          <w:bCs w:val="0"/>
        </w:rPr>
        <w:t xml:space="preserve">.</w:t>
      </w:r>
      <w:r>
        <w:rPr>
          <w:rFonts w:hint="eastAsia"/>
          <w:b w:val="0"/>
          <w:bCs w:val="0"/>
          <w:lang w:val="en-US" w:eastAsia="zh-CN"/>
        </w:rPr>
        <w:t xml:space="preserve">4.2.</w:t>
      </w:r>
      <w:r>
        <w:rPr>
          <w:rFonts w:hint="eastAsia"/>
          <w:b w:val="0"/>
          <w:bCs w:val="0"/>
        </w:rPr>
        <w:t xml:space="preserve">2.1 纯水机要求</w:t>
      </w:r>
      <w:r/>
    </w:p>
    <w:p>
      <w:pPr>
        <w:pStyle w:val="966"/>
        <w:rPr>
          <w:b w:val="0"/>
          <w:bCs w:val="0"/>
        </w:rPr>
      </w:pPr>
      <w:r>
        <w:rPr>
          <w:rFonts w:hint="eastAsia"/>
          <w:b w:val="0"/>
          <w:bCs w:val="0"/>
        </w:rPr>
        <w:t xml:space="preserve">（1）进水水源：城市自来水；</w:t>
      </w:r>
      <w:r/>
    </w:p>
    <w:p>
      <w:pPr>
        <w:pStyle w:val="966"/>
        <w:rPr>
          <w:b w:val="0"/>
          <w:bCs w:val="0"/>
        </w:rPr>
      </w:pPr>
      <w:r>
        <w:rPr>
          <w:rFonts w:hint="eastAsia"/>
          <w:b w:val="0"/>
          <w:bCs w:val="0"/>
        </w:rPr>
        <w:t xml:space="preserve">（2）进水要求：温度5-40℃，压力0.1-0.5Mpa；</w:t>
      </w:r>
      <w:r/>
    </w:p>
    <w:p>
      <w:pPr>
        <w:pStyle w:val="966"/>
        <w:rPr>
          <w:b w:val="0"/>
          <w:bCs w:val="0"/>
        </w:rPr>
      </w:pPr>
      <w:r>
        <w:rPr>
          <w:rFonts w:hint="eastAsia"/>
          <w:b w:val="0"/>
          <w:bCs w:val="0"/>
        </w:rPr>
        <w:t xml:space="preserve">（3）产水量：纯水≥20L/H（25℃）；超纯水≥2L/min(瞬间流速)；</w:t>
      </w:r>
      <w:r/>
    </w:p>
    <w:p>
      <w:pPr>
        <w:pStyle w:val="966"/>
        <w:rPr>
          <w:b w:val="0"/>
          <w:bCs w:val="0"/>
        </w:rPr>
      </w:pPr>
      <w:r>
        <w:rPr>
          <w:rFonts w:hint="eastAsia"/>
          <w:b w:val="0"/>
          <w:bCs w:val="0"/>
        </w:rPr>
        <w:t xml:space="preserve">（4）反渗透纯水：脱盐率≥98%（25℃）；</w:t>
      </w:r>
      <w:r/>
    </w:p>
    <w:p>
      <w:pPr>
        <w:pStyle w:val="966"/>
        <w:rPr>
          <w:b w:val="0"/>
          <w:bCs w:val="0"/>
        </w:rPr>
      </w:pPr>
      <w:r>
        <w:rPr>
          <w:rFonts w:hint="eastAsia"/>
          <w:b w:val="0"/>
          <w:bCs w:val="0"/>
        </w:rPr>
        <w:t xml:space="preserve">（5）纯水电导率：电导率&lt;5μs/cm，原水电导率&lt;250μs/cm时，符合GB6682的实验室三级用水；</w:t>
      </w:r>
      <w:r/>
    </w:p>
    <w:p>
      <w:pPr>
        <w:pStyle w:val="966"/>
        <w:rPr>
          <w:b w:val="0"/>
          <w:bCs w:val="0"/>
        </w:rPr>
      </w:pPr>
      <w:r>
        <w:rPr>
          <w:rFonts w:hint="eastAsia"/>
          <w:b w:val="0"/>
          <w:bCs w:val="0"/>
        </w:rPr>
        <w:t xml:space="preserve">（6）超纯水：电阻率≥15-18.2MΩ/cm（25℃），高于</w:t>
      </w:r>
      <w:bookmarkStart w:id="39" w:name="OLE_LINK18"/>
      <w:r/>
      <w:bookmarkStart w:id="40" w:name="OLE_LINK17"/>
      <w:r>
        <w:rPr>
          <w:rFonts w:hint="eastAsia"/>
          <w:b w:val="0"/>
          <w:bCs w:val="0"/>
        </w:rPr>
        <w:t xml:space="preserve">GB6682</w:t>
      </w:r>
      <w:bookmarkEnd w:id="39"/>
      <w:r/>
      <w:bookmarkEnd w:id="40"/>
      <w:r>
        <w:rPr>
          <w:rFonts w:hint="eastAsia"/>
          <w:b w:val="0"/>
          <w:bCs w:val="0"/>
        </w:rPr>
        <w:t xml:space="preserve">国家分析实验室用水规格一级标准；</w:t>
      </w:r>
      <w:r/>
    </w:p>
    <w:p>
      <w:pPr>
        <w:pStyle w:val="966"/>
        <w:rPr>
          <w:b w:val="0"/>
          <w:bCs w:val="0"/>
        </w:rPr>
      </w:pPr>
      <w:r>
        <w:rPr>
          <w:rFonts w:hint="eastAsia"/>
          <w:b w:val="0"/>
          <w:bCs w:val="0"/>
        </w:rPr>
        <w:t xml:space="preserve">（7）其他离子：重金属含量（mg/L.max）：&lt;0.01。</w:t>
      </w:r>
      <w:r/>
    </w:p>
    <w:p>
      <w:pPr>
        <w:pStyle w:val="966"/>
        <w:rPr>
          <w:b w:val="0"/>
          <w:bCs w:val="0"/>
        </w:rPr>
      </w:pPr>
      <w:r>
        <w:rPr>
          <w:rFonts w:hint="eastAsia"/>
          <w:b w:val="0"/>
          <w:bCs w:val="0"/>
        </w:rPr>
        <w:t xml:space="preserve">2.1</w:t>
      </w:r>
      <w:r>
        <w:rPr>
          <w:rFonts w:hint="eastAsia"/>
          <w:b w:val="0"/>
          <w:bCs w:val="0"/>
          <w:lang w:val="en-US" w:eastAsia="zh-CN"/>
        </w:rPr>
        <w:t xml:space="preserve">2</w:t>
      </w:r>
      <w:r>
        <w:rPr>
          <w:rFonts w:hint="eastAsia"/>
          <w:b w:val="0"/>
          <w:bCs w:val="0"/>
        </w:rPr>
        <w:t xml:space="preserve">.</w:t>
      </w:r>
      <w:r>
        <w:rPr>
          <w:rFonts w:hint="eastAsia"/>
          <w:b w:val="0"/>
          <w:bCs w:val="0"/>
          <w:lang w:val="en-US" w:eastAsia="zh-CN"/>
        </w:rPr>
        <w:t xml:space="preserve">4.2.</w:t>
      </w:r>
      <w:r>
        <w:rPr>
          <w:rFonts w:hint="eastAsia"/>
          <w:b w:val="0"/>
          <w:bCs w:val="0"/>
        </w:rPr>
        <w:t xml:space="preserve">2.2 供应系统要求</w:t>
      </w:r>
      <w:r/>
    </w:p>
    <w:p>
      <w:pPr>
        <w:pStyle w:val="966"/>
        <w:rPr>
          <w:b w:val="0"/>
          <w:bCs w:val="0"/>
        </w:rPr>
      </w:pPr>
      <w:r>
        <w:rPr>
          <w:rFonts w:hint="eastAsia"/>
          <w:b w:val="0"/>
          <w:bCs w:val="0"/>
        </w:rPr>
        <w:t xml:space="preserve">（1）超纯水自动供应包括纯水制作、纯水运输、纯水补充、管路清洗等功能；</w:t>
      </w:r>
      <w:r/>
    </w:p>
    <w:p>
      <w:pPr>
        <w:pStyle w:val="966"/>
        <w:rPr>
          <w:b w:val="0"/>
          <w:bCs w:val="0"/>
        </w:rPr>
      </w:pPr>
      <w:r>
        <w:rPr>
          <w:rFonts w:hint="eastAsia"/>
          <w:b w:val="0"/>
          <w:bCs w:val="0"/>
        </w:rPr>
        <w:t xml:space="preserve">（2）纯水桶、管路、泵、阀、接头均采用PVC（聚氯乙烯）、PP（聚丙烯）、PTFE（聚四氟乙烯）等塑料材质，防止金属元素析出，满足痕量元素分析的纯水需求。</w:t>
      </w:r>
      <w:r/>
    </w:p>
    <w:p>
      <w:pPr>
        <w:pStyle w:val="966"/>
        <w:rPr>
          <w:b w:val="0"/>
          <w:bCs w:val="0"/>
        </w:rPr>
      </w:pPr>
      <w:r>
        <w:rPr>
          <w:rFonts w:hint="eastAsia"/>
          <w:b w:val="0"/>
          <w:bCs w:val="0"/>
        </w:rPr>
        <w:t xml:space="preserve">2.1</w:t>
      </w:r>
      <w:r>
        <w:rPr>
          <w:rFonts w:hint="eastAsia"/>
          <w:b w:val="0"/>
          <w:bCs w:val="0"/>
          <w:lang w:val="en-US" w:eastAsia="zh-CN"/>
        </w:rPr>
        <w:t xml:space="preserve">2</w:t>
      </w:r>
      <w:r>
        <w:rPr>
          <w:rFonts w:hint="eastAsia"/>
          <w:b w:val="0"/>
          <w:bCs w:val="0"/>
        </w:rPr>
        <w:t xml:space="preserve">.</w:t>
      </w:r>
      <w:r>
        <w:rPr>
          <w:rFonts w:hint="eastAsia"/>
          <w:b w:val="0"/>
          <w:bCs w:val="0"/>
          <w:lang w:val="en-US" w:eastAsia="zh-CN"/>
        </w:rPr>
        <w:t xml:space="preserve">4.2.</w:t>
      </w:r>
      <w:r>
        <w:rPr>
          <w:rFonts w:hint="eastAsia"/>
          <w:b w:val="0"/>
          <w:bCs w:val="0"/>
        </w:rPr>
        <w:t xml:space="preserve">3视频监控系统</w:t>
      </w:r>
      <w:r/>
    </w:p>
    <w:p>
      <w:pPr>
        <w:pStyle w:val="966"/>
        <w:rPr>
          <w:b w:val="0"/>
          <w:bCs w:val="0"/>
        </w:rPr>
      </w:pPr>
      <w:r>
        <w:rPr>
          <w:rFonts w:hint="eastAsia"/>
          <w:b w:val="0"/>
          <w:bCs w:val="0"/>
        </w:rPr>
        <w:t xml:space="preserve">（1）配置1台NVR和2个摄像头；</w:t>
      </w:r>
      <w:r/>
    </w:p>
    <w:p>
      <w:pPr>
        <w:pStyle w:val="966"/>
        <w:rPr>
          <w:b w:val="0"/>
          <w:bCs w:val="0"/>
        </w:rPr>
      </w:pPr>
      <w:r>
        <w:rPr>
          <w:rFonts w:hint="eastAsia"/>
          <w:b w:val="0"/>
          <w:bCs w:val="0"/>
        </w:rPr>
        <w:t xml:space="preserve">（2）NVR≥4路；硬盘≥4T；HDMI视频输出；</w:t>
      </w:r>
      <w:r/>
    </w:p>
    <w:p>
      <w:pPr>
        <w:pStyle w:val="966"/>
        <w:rPr>
          <w:b w:val="0"/>
          <w:bCs w:val="0"/>
        </w:rPr>
      </w:pPr>
      <w:r>
        <w:rPr>
          <w:rFonts w:hint="eastAsia"/>
          <w:b w:val="0"/>
          <w:bCs w:val="0"/>
        </w:rPr>
        <w:t xml:space="preserve">（3）摄像头：≥200万像素，图像传感器：1/2.7CMOS；带红外补光，不低于20米。</w:t>
      </w:r>
      <w:r/>
    </w:p>
    <w:p>
      <w:pPr>
        <w:pStyle w:val="966"/>
        <w:rPr>
          <w:b w:val="0"/>
          <w:bCs w:val="0"/>
        </w:rPr>
      </w:pPr>
      <w:r>
        <w:rPr>
          <w:rFonts w:hint="eastAsia"/>
          <w:b w:val="0"/>
          <w:bCs w:val="0"/>
        </w:rPr>
        <w:t xml:space="preserve">2.1</w:t>
      </w:r>
      <w:r>
        <w:rPr>
          <w:rFonts w:hint="eastAsia"/>
          <w:b w:val="0"/>
          <w:bCs w:val="0"/>
          <w:lang w:val="en-US" w:eastAsia="zh-CN"/>
        </w:rPr>
        <w:t xml:space="preserve">2</w:t>
      </w:r>
      <w:r>
        <w:rPr>
          <w:rFonts w:hint="eastAsia"/>
          <w:b w:val="0"/>
          <w:bCs w:val="0"/>
        </w:rPr>
        <w:t xml:space="preserve">.</w:t>
      </w:r>
      <w:r>
        <w:rPr>
          <w:rFonts w:hint="eastAsia"/>
          <w:b w:val="0"/>
          <w:bCs w:val="0"/>
          <w:lang w:val="en-US" w:eastAsia="zh-CN"/>
        </w:rPr>
        <w:t xml:space="preserve">4.2.</w:t>
      </w:r>
      <w:r>
        <w:rPr>
          <w:rFonts w:hint="eastAsia"/>
          <w:b w:val="0"/>
          <w:bCs w:val="0"/>
        </w:rPr>
        <w:t xml:space="preserve">4空压机</w:t>
      </w:r>
      <w:r/>
    </w:p>
    <w:p>
      <w:pPr>
        <w:pStyle w:val="966"/>
        <w:rPr>
          <w:b w:val="0"/>
          <w:bCs w:val="0"/>
        </w:rPr>
      </w:pPr>
      <w:r>
        <w:rPr>
          <w:rFonts w:hint="eastAsia"/>
          <w:b w:val="0"/>
          <w:bCs w:val="0"/>
        </w:rPr>
        <w:t xml:space="preserve">压力：5～8bar；最大供气量≥110L/min，噪声≤60分贝，储气罐≥60L，油含量0（卫生级空气）。</w:t>
      </w:r>
      <w:r/>
    </w:p>
    <w:p>
      <w:pPr>
        <w:pStyle w:val="966"/>
        <w:rPr>
          <w:b/>
          <w:bCs/>
        </w:rPr>
      </w:pPr>
      <w:r>
        <w:rPr>
          <w:rFonts w:hint="eastAsia"/>
          <w:b/>
          <w:bCs/>
        </w:rPr>
        <w:t xml:space="preserve">2.1</w:t>
      </w:r>
      <w:r>
        <w:rPr>
          <w:rFonts w:hint="eastAsia"/>
          <w:b/>
          <w:bCs/>
          <w:lang w:val="en-US" w:eastAsia="zh-CN"/>
        </w:rPr>
        <w:t xml:space="preserve">3</w:t>
      </w:r>
      <w:r>
        <w:rPr>
          <w:rFonts w:hint="eastAsia"/>
          <w:b/>
          <w:bCs/>
        </w:rPr>
        <w:t xml:space="preserve">.水质自动采样设备</w:t>
      </w:r>
      <w:r/>
    </w:p>
    <w:p>
      <w:pPr>
        <w:pStyle w:val="966"/>
      </w:pPr>
      <w:r>
        <w:rPr>
          <w:rFonts w:hint="eastAsia"/>
        </w:rPr>
        <w:t xml:space="preserve">2.1</w:t>
      </w:r>
      <w:r>
        <w:rPr>
          <w:rFonts w:hint="eastAsia"/>
          <w:lang w:val="en-US" w:eastAsia="zh-CN"/>
        </w:rPr>
        <w:t xml:space="preserve">3</w:t>
      </w:r>
      <w:r>
        <w:rPr>
          <w:rFonts w:hint="eastAsia"/>
        </w:rPr>
        <w:t xml:space="preserve">.1.用途要求</w:t>
      </w:r>
      <w:r/>
    </w:p>
    <w:p>
      <w:pPr>
        <w:pStyle w:val="966"/>
      </w:pPr>
      <w:r>
        <w:rPr>
          <w:rFonts w:hint="eastAsia"/>
        </w:rPr>
        <w:t xml:space="preserve">用于现场的水样采集。全流程无废液产生，通过样品瓶二维码信息，与全自动实验室实现联动，内置周期、定点采样，可外接流量计、雨量计，进行雨量触发、流量触发采样模式，能远程操作自动采用系统，调整自动采样策略，灵活设置按监管的需求进行样品采集。</w:t>
      </w:r>
      <w:r/>
    </w:p>
    <w:p>
      <w:pPr>
        <w:pStyle w:val="966"/>
      </w:pPr>
      <w:r>
        <w:rPr>
          <w:rFonts w:hint="eastAsia"/>
        </w:rPr>
        <w:t xml:space="preserve">雨量触发监测：</w:t>
      </w:r>
      <w:bookmarkStart w:id="41" w:name="OLE_LINK15"/>
      <w:r>
        <w:rPr>
          <w:rFonts w:hint="eastAsia"/>
        </w:rPr>
        <w:t xml:space="preserve">自动采样系统可配置雨量计</w:t>
      </w:r>
      <w:bookmarkEnd w:id="41"/>
      <w:r>
        <w:rPr>
          <w:rFonts w:hint="eastAsia"/>
        </w:rPr>
        <w:t xml:space="preserve">，监测降水量超过设定值，自动触发仪器完成1次水样采集；</w:t>
      </w:r>
      <w:r/>
    </w:p>
    <w:p>
      <w:pPr>
        <w:pStyle w:val="966"/>
      </w:pPr>
      <w:r>
        <w:rPr>
          <w:rFonts w:hint="eastAsia"/>
        </w:rPr>
        <w:t xml:space="preserve">流量突变监测：自动采样系统可配置流量计，当自动采样系统配置流量监测数据超过数据管理平台设置的阈值（流量剧增）时，系统自动触发仪器完成1 次水样采集；</w:t>
      </w:r>
      <w:r/>
    </w:p>
    <w:p>
      <w:pPr>
        <w:pStyle w:val="966"/>
      </w:pPr>
      <w:r>
        <w:rPr>
          <w:rFonts w:hint="eastAsia"/>
        </w:rPr>
        <w:t xml:space="preserve">2.1</w:t>
      </w:r>
      <w:r>
        <w:rPr>
          <w:rFonts w:hint="eastAsia"/>
          <w:lang w:val="en-US" w:eastAsia="zh-CN"/>
        </w:rPr>
        <w:t xml:space="preserve">3</w:t>
      </w:r>
      <w:r>
        <w:rPr>
          <w:rFonts w:hint="eastAsia"/>
        </w:rPr>
        <w:t xml:space="preserve">.2.技术要求</w:t>
      </w:r>
      <w:r/>
    </w:p>
    <w:p>
      <w:pPr>
        <w:pStyle w:val="966"/>
      </w:pPr>
      <w:r>
        <w:rPr>
          <w:rFonts w:hint="eastAsia"/>
        </w:rPr>
        <w:t xml:space="preserve">（1）采样模式：周期模式、定点模式、雨量触发、流量触发、远程触发等模式；</w:t>
      </w:r>
      <w:r/>
    </w:p>
    <w:p>
      <w:pPr>
        <w:pStyle w:val="966"/>
      </w:pPr>
      <w:r>
        <w:rPr>
          <w:rFonts w:hint="eastAsia"/>
        </w:rPr>
        <w:t xml:space="preserve">（2）样品瓶 数量：≥10个； </w:t>
      </w:r>
      <w:r/>
    </w:p>
    <w:p>
      <w:pPr>
        <w:pStyle w:val="966"/>
      </w:pPr>
      <w:r>
        <w:rPr>
          <w:rFonts w:hint="eastAsia"/>
        </w:rPr>
        <w:t xml:space="preserve">（3）门禁功能：备电子门禁； </w:t>
      </w:r>
      <w:r/>
    </w:p>
    <w:p>
      <w:pPr>
        <w:pStyle w:val="966"/>
      </w:pPr>
      <w:r>
        <w:rPr>
          <w:rFonts w:hint="eastAsia"/>
        </w:rPr>
        <w:t xml:space="preserve">（4）占地面积：＜1㎡。</w:t>
      </w:r>
      <w:r/>
    </w:p>
    <w:p>
      <w:pPr>
        <w:pStyle w:val="966"/>
      </w:pPr>
      <w:r>
        <w:rPr>
          <w:rFonts w:hint="eastAsia"/>
          <w:b/>
          <w:bCs/>
        </w:rPr>
        <w:t xml:space="preserve">2.1</w:t>
      </w:r>
      <w:r>
        <w:rPr>
          <w:rFonts w:hint="eastAsia"/>
          <w:b/>
          <w:bCs/>
          <w:lang w:val="en-US" w:eastAsia="zh-CN"/>
        </w:rPr>
        <w:t xml:space="preserve">4</w:t>
      </w:r>
      <w:r>
        <w:rPr>
          <w:rFonts w:hint="eastAsia"/>
          <w:b/>
          <w:bCs/>
        </w:rPr>
        <w:t xml:space="preserve">.紫外可见分光光度计 </w:t>
      </w:r>
      <w:r>
        <w:rPr>
          <w:rFonts w:hint="eastAsia"/>
        </w:rPr>
        <w:t xml:space="preserve"> </w:t>
      </w:r>
      <w:r/>
    </w:p>
    <w:p>
      <w:pPr>
        <w:pStyle w:val="966"/>
      </w:pPr>
      <w:r>
        <w:rPr>
          <w:rFonts w:hint="eastAsia"/>
        </w:rPr>
        <w:t xml:space="preserve">2.1</w:t>
      </w:r>
      <w:r>
        <w:rPr>
          <w:rFonts w:hint="eastAsia"/>
          <w:lang w:val="en-US" w:eastAsia="zh-CN"/>
        </w:rPr>
        <w:t xml:space="preserve">4</w:t>
      </w:r>
      <w:r>
        <w:rPr>
          <w:rFonts w:hint="eastAsia"/>
        </w:rPr>
        <w:t xml:space="preserve">.</w:t>
      </w:r>
      <w:r>
        <w:t xml:space="preserve">1.</w:t>
      </w:r>
      <w:r>
        <w:rPr>
          <w:rFonts w:hint="eastAsia"/>
        </w:rPr>
        <w:t xml:space="preserve">性能参数</w:t>
      </w:r>
      <w:r/>
    </w:p>
    <w:p>
      <w:pPr>
        <w:pStyle w:val="966"/>
      </w:pPr>
      <w:r>
        <w:rPr>
          <w:rFonts w:hint="eastAsia"/>
        </w:rPr>
        <w:t xml:space="preserve">2.1</w:t>
      </w:r>
      <w:r>
        <w:rPr>
          <w:rFonts w:hint="eastAsia"/>
          <w:lang w:val="en-US" w:eastAsia="zh-CN"/>
        </w:rPr>
        <w:t xml:space="preserve">4</w:t>
      </w:r>
      <w:r>
        <w:rPr>
          <w:rFonts w:hint="eastAsia"/>
        </w:rPr>
        <w:t xml:space="preserve">.</w:t>
      </w:r>
      <w:r>
        <w:t xml:space="preserve">1.1</w:t>
      </w:r>
      <w:r>
        <w:rPr>
          <w:rFonts w:hint="eastAsia"/>
        </w:rPr>
        <w:t xml:space="preserve">光学系统：准双光束光学系统</w:t>
      </w:r>
      <w:r/>
    </w:p>
    <w:p>
      <w:pPr>
        <w:pStyle w:val="966"/>
      </w:pPr>
      <w:r>
        <w:rPr>
          <w:rFonts w:hint="eastAsia"/>
        </w:rPr>
        <w:t xml:space="preserve">2.1</w:t>
      </w:r>
      <w:r>
        <w:rPr>
          <w:rFonts w:hint="eastAsia"/>
          <w:lang w:val="en-US" w:eastAsia="zh-CN"/>
        </w:rPr>
        <w:t xml:space="preserve">4</w:t>
      </w:r>
      <w:r>
        <w:rPr>
          <w:rFonts w:hint="eastAsia"/>
        </w:rPr>
        <w:t xml:space="preserve">.1.2.光谱带宽：2.0nm</w:t>
      </w:r>
      <w:r/>
    </w:p>
    <w:p>
      <w:pPr>
        <w:pStyle w:val="966"/>
      </w:pPr>
      <w:r>
        <w:rPr>
          <w:rFonts w:hint="eastAsia"/>
        </w:rPr>
        <w:t xml:space="preserve">2.1</w:t>
      </w:r>
      <w:r>
        <w:rPr>
          <w:rFonts w:hint="eastAsia"/>
          <w:lang w:val="en-US" w:eastAsia="zh-CN"/>
        </w:rPr>
        <w:t xml:space="preserve">4</w:t>
      </w:r>
      <w:r>
        <w:rPr>
          <w:rFonts w:hint="eastAsia"/>
        </w:rPr>
        <w:t xml:space="preserve">.1.3.工作模式：单机模式/PC联机模式</w:t>
      </w:r>
      <w:r/>
    </w:p>
    <w:p>
      <w:pPr>
        <w:pStyle w:val="966"/>
      </w:pPr>
      <w:r>
        <w:rPr>
          <w:rFonts w:hint="eastAsia"/>
        </w:rPr>
        <w:t xml:space="preserve">2.1</w:t>
      </w:r>
      <w:r>
        <w:rPr>
          <w:rFonts w:hint="eastAsia"/>
          <w:lang w:val="en-US" w:eastAsia="zh-CN"/>
        </w:rPr>
        <w:t xml:space="preserve">4</w:t>
      </w:r>
      <w:r>
        <w:rPr>
          <w:rFonts w:hint="eastAsia"/>
        </w:rPr>
        <w:t xml:space="preserve">.1.4.波长范围：190-1100nm</w:t>
      </w:r>
      <w:r/>
    </w:p>
    <w:p>
      <w:pPr>
        <w:pStyle w:val="966"/>
      </w:pPr>
      <w:r>
        <w:rPr>
          <w:rFonts w:hint="eastAsia"/>
        </w:rPr>
        <w:t xml:space="preserve">2.1</w:t>
      </w:r>
      <w:r>
        <w:rPr>
          <w:rFonts w:hint="eastAsia"/>
          <w:lang w:val="en-US" w:eastAsia="zh-CN"/>
        </w:rPr>
        <w:t xml:space="preserve">4</w:t>
      </w:r>
      <w:r>
        <w:rPr>
          <w:rFonts w:hint="eastAsia"/>
        </w:rPr>
        <w:t xml:space="preserve">.1.5.波长准确度：±0.5nm</w:t>
      </w:r>
      <w:r/>
    </w:p>
    <w:p>
      <w:pPr>
        <w:pStyle w:val="966"/>
      </w:pPr>
      <w:r>
        <w:rPr>
          <w:rFonts w:hint="eastAsia"/>
        </w:rPr>
        <w:t xml:space="preserve">2.1</w:t>
      </w:r>
      <w:r>
        <w:rPr>
          <w:rFonts w:hint="eastAsia"/>
          <w:lang w:val="en-US" w:eastAsia="zh-CN"/>
        </w:rPr>
        <w:t xml:space="preserve">4</w:t>
      </w:r>
      <w:r>
        <w:rPr>
          <w:rFonts w:hint="eastAsia"/>
        </w:rPr>
        <w:t xml:space="preserve">.1.6.波长重复性：≤0.1nm</w:t>
      </w:r>
      <w:r/>
    </w:p>
    <w:p>
      <w:pPr>
        <w:pStyle w:val="966"/>
        <w:rPr>
          <w:b/>
          <w:bCs/>
        </w:rPr>
      </w:pPr>
      <w:r>
        <w:rPr>
          <w:rFonts w:hint="eastAsia"/>
        </w:rPr>
        <w:t xml:space="preserve">▲2.1</w:t>
      </w:r>
      <w:r>
        <w:rPr>
          <w:rFonts w:hint="eastAsia"/>
          <w:lang w:val="en-US" w:eastAsia="zh-CN"/>
        </w:rPr>
        <w:t xml:space="preserve">4</w:t>
      </w:r>
      <w:r>
        <w:rPr>
          <w:rFonts w:hint="eastAsia"/>
        </w:rPr>
        <w:t xml:space="preserve">.1.7.杂散光：＜0.01%T(220nm，NaI)</w:t>
      </w:r>
      <w:r>
        <w:rPr>
          <w:rFonts w:hint="eastAsia"/>
          <w:lang w:eastAsia="zh-CN"/>
        </w:rPr>
        <w:t xml:space="preserve">；</w:t>
      </w:r>
      <w:r>
        <w:rPr>
          <w:rFonts w:hint="eastAsia"/>
        </w:rPr>
        <w:t xml:space="preserve">光度方式：透过率，吸光度，能量</w:t>
      </w:r>
      <w:r>
        <w:rPr>
          <w:rFonts w:hint="eastAsia"/>
          <w:lang w:eastAsia="zh-CN"/>
        </w:rPr>
        <w:t xml:space="preserve">；</w:t>
      </w:r>
      <w:r>
        <w:rPr>
          <w:rFonts w:hint="eastAsia"/>
        </w:rPr>
        <w:t xml:space="preserve">光度范围：-4～4.0Abs</w:t>
      </w:r>
      <w:r>
        <w:rPr>
          <w:rFonts w:hint="eastAsia"/>
          <w:lang w:eastAsia="zh-CN"/>
        </w:rPr>
        <w:t xml:space="preserve">；</w:t>
      </w:r>
      <w:r>
        <w:rPr>
          <w:rFonts w:hint="eastAsia"/>
        </w:rPr>
        <w:t xml:space="preserve">透色比最大允许误差：±0.3%T(0～100%T)</w:t>
      </w:r>
      <w:r>
        <w:rPr>
          <w:rFonts w:hint="eastAsia"/>
          <w:lang w:eastAsia="zh-CN"/>
        </w:rPr>
        <w:t xml:space="preserve">；</w:t>
      </w:r>
      <w:r>
        <w:rPr>
          <w:rFonts w:hint="eastAsia"/>
        </w:rPr>
        <w:t xml:space="preserve">透色比重复性：0.1%T</w:t>
      </w:r>
      <w:r>
        <w:rPr>
          <w:rFonts w:hint="eastAsia"/>
          <w:lang w:eastAsia="zh-CN"/>
        </w:rPr>
        <w:t xml:space="preserve">；</w:t>
      </w:r>
      <w:r>
        <w:rPr>
          <w:rFonts w:hint="eastAsia"/>
        </w:rPr>
        <w:t xml:space="preserve">波长扫描速度：最快可达30000nm/min</w:t>
      </w:r>
      <w:r>
        <w:rPr>
          <w:rFonts w:hint="eastAsia"/>
          <w:lang w:eastAsia="zh-CN"/>
        </w:rPr>
        <w:t xml:space="preserve">；</w:t>
      </w:r>
      <w:r>
        <w:rPr>
          <w:rFonts w:hint="eastAsia"/>
        </w:rPr>
        <w:t xml:space="preserve">基线平直度：±0.0005Abs（190-1100nm）</w:t>
      </w:r>
      <w:r>
        <w:rPr>
          <w:rFonts w:hint="eastAsia"/>
          <w:lang w:eastAsia="zh-CN"/>
        </w:rPr>
        <w:t xml:space="preserve">；</w:t>
      </w:r>
      <w:r>
        <w:rPr>
          <w:rFonts w:hint="eastAsia"/>
        </w:rPr>
        <w:t xml:space="preserve">基线漂移：0.1%/h（500nm,预热1h）</w:t>
      </w:r>
      <w:r>
        <w:rPr>
          <w:rFonts w:hint="eastAsia"/>
          <w:lang w:eastAsia="zh-CN"/>
        </w:rPr>
        <w:t xml:space="preserve">；</w:t>
      </w:r>
      <w:r>
        <w:rPr>
          <w:rFonts w:hint="eastAsia"/>
        </w:rPr>
        <w:t xml:space="preserve">光度噪声：≤0.05%</w:t>
      </w:r>
      <w:r>
        <w:rPr>
          <w:rFonts w:hint="eastAsia"/>
          <w:b/>
          <w:bCs/>
        </w:rPr>
        <w:t xml:space="preserve">（提供原厂彩页及官网截图并加盖投标人公章）</w:t>
      </w:r>
      <w:r/>
    </w:p>
    <w:p>
      <w:pPr>
        <w:pStyle w:val="966"/>
      </w:pPr>
      <w:r>
        <w:rPr>
          <w:rFonts w:hint="eastAsia"/>
        </w:rPr>
        <w:t xml:space="preserve">2.1</w:t>
      </w:r>
      <w:r>
        <w:rPr>
          <w:rFonts w:hint="eastAsia"/>
          <w:lang w:val="en-US" w:eastAsia="zh-CN"/>
        </w:rPr>
        <w:t xml:space="preserve">4</w:t>
      </w:r>
      <w:r>
        <w:rPr>
          <w:rFonts w:hint="eastAsia"/>
        </w:rPr>
        <w:t xml:space="preserve">.2.特点</w:t>
      </w:r>
      <w:r/>
    </w:p>
    <w:p>
      <w:pPr>
        <w:pStyle w:val="966"/>
      </w:pPr>
      <w:r>
        <w:rPr>
          <w:rFonts w:hint="eastAsia"/>
        </w:rPr>
        <w:t xml:space="preserve">2.1</w:t>
      </w:r>
      <w:r>
        <w:rPr>
          <w:rFonts w:hint="eastAsia"/>
          <w:lang w:val="en-US" w:eastAsia="zh-CN"/>
        </w:rPr>
        <w:t xml:space="preserve">4</w:t>
      </w:r>
      <w:r>
        <w:rPr>
          <w:rFonts w:hint="eastAsia"/>
        </w:rPr>
        <w:t xml:space="preserve">.2.1.分析准确：采用全息高分辨率衍射光栅，进一步降低仪器的杂散光，使仪器分析更加准确；</w:t>
      </w:r>
      <w:r/>
    </w:p>
    <w:p>
      <w:pPr>
        <w:pStyle w:val="966"/>
      </w:pPr>
      <w:r>
        <w:rPr>
          <w:rFonts w:hint="eastAsia"/>
        </w:rPr>
        <w:t xml:space="preserve">2.1</w:t>
      </w:r>
      <w:r>
        <w:rPr>
          <w:rFonts w:hint="eastAsia"/>
          <w:lang w:val="en-US" w:eastAsia="zh-CN"/>
        </w:rPr>
        <w:t xml:space="preserve">4</w:t>
      </w:r>
      <w:r>
        <w:rPr>
          <w:rFonts w:hint="eastAsia"/>
        </w:rPr>
        <w:t xml:space="preserve">.2.2.性能稳定：双光束比例监测/双光束光学系统保证了良好的稳定性；</w:t>
      </w:r>
      <w:r/>
    </w:p>
    <w:p>
      <w:pPr>
        <w:pStyle w:val="966"/>
      </w:pPr>
      <w:r>
        <w:rPr>
          <w:rFonts w:hint="eastAsia"/>
        </w:rPr>
        <w:t xml:space="preserve">2.1</w:t>
      </w:r>
      <w:r>
        <w:rPr>
          <w:rFonts w:hint="eastAsia"/>
          <w:lang w:val="en-US" w:eastAsia="zh-CN"/>
        </w:rPr>
        <w:t xml:space="preserve">4</w:t>
      </w:r>
      <w:r>
        <w:rPr>
          <w:rFonts w:hint="eastAsia"/>
        </w:rPr>
        <w:t xml:space="preserve">.2.3.测量速度快：最快扫描速度达到30000nm/min。</w:t>
      </w:r>
      <w:r/>
    </w:p>
    <w:p>
      <w:pPr>
        <w:pStyle w:val="966"/>
      </w:pPr>
      <w:r>
        <w:rPr>
          <w:rFonts w:hint="eastAsia"/>
        </w:rPr>
        <w:t xml:space="preserve">2.1</w:t>
      </w:r>
      <w:r>
        <w:rPr>
          <w:rFonts w:hint="eastAsia"/>
          <w:lang w:val="en-US" w:eastAsia="zh-CN"/>
        </w:rPr>
        <w:t xml:space="preserve">4</w:t>
      </w:r>
      <w:r>
        <w:rPr>
          <w:rFonts w:hint="eastAsia"/>
        </w:rPr>
        <w:t xml:space="preserve">.2.4.智能应用：</w:t>
      </w:r>
      <w:r>
        <w:rPr>
          <w:rFonts w:hint="eastAsia"/>
          <w:lang w:val="en-US" w:eastAsia="zh-CN"/>
        </w:rPr>
        <w:t xml:space="preserve">≥</w:t>
      </w:r>
      <w:r>
        <w:rPr>
          <w:rFonts w:hint="eastAsia"/>
        </w:rPr>
        <w:t xml:space="preserve">9.</w:t>
      </w:r>
      <w:r>
        <w:rPr>
          <w:rFonts w:hint="eastAsia"/>
          <w:lang w:val="en-US" w:eastAsia="zh-CN"/>
        </w:rPr>
        <w:t xml:space="preserve">5</w:t>
      </w:r>
      <w:r>
        <w:rPr>
          <w:rFonts w:hint="eastAsia"/>
        </w:rPr>
        <w:t xml:space="preserve">寸彩色触摸屏，系统内置可以下载更新APP软件，可以自由扩展应用。基础功能实现智能化检测，操作简单易用。</w:t>
      </w:r>
      <w:r/>
    </w:p>
    <w:p>
      <w:pPr>
        <w:pStyle w:val="966"/>
      </w:pPr>
      <w:r>
        <w:rPr>
          <w:rFonts w:hint="eastAsia"/>
        </w:rPr>
        <w:t xml:space="preserve">2.1</w:t>
      </w:r>
      <w:r>
        <w:rPr>
          <w:rFonts w:hint="eastAsia"/>
          <w:lang w:val="en-US" w:eastAsia="zh-CN"/>
        </w:rPr>
        <w:t xml:space="preserve">4</w:t>
      </w:r>
      <w:r>
        <w:rPr>
          <w:rFonts w:hint="eastAsia"/>
        </w:rPr>
        <w:t xml:space="preserve">.2.5.轻松的人机对话：基于WINDOWS环境设计的UVWIN中文版操作软件，提供丰富的仪器控制和操作功能。灵活简单，轻松满足使用者的分析需求。</w:t>
      </w:r>
      <w:r/>
    </w:p>
    <w:p>
      <w:pPr>
        <w:pStyle w:val="966"/>
      </w:pPr>
      <w:r>
        <w:rPr>
          <w:rFonts w:hint="eastAsia"/>
        </w:rPr>
        <w:t xml:space="preserve">2.1</w:t>
      </w:r>
      <w:r>
        <w:rPr>
          <w:rFonts w:hint="eastAsia"/>
          <w:lang w:val="en-US" w:eastAsia="zh-CN"/>
        </w:rPr>
        <w:t xml:space="preserve">4</w:t>
      </w:r>
      <w:r>
        <w:rPr>
          <w:rFonts w:hint="eastAsia"/>
        </w:rPr>
        <w:t xml:space="preserve">.2.6.维护方便：采用人性化机械结构及模块化电器设计理念，电器系统维护更加快捷。</w:t>
      </w:r>
      <w:r/>
    </w:p>
    <w:p>
      <w:pPr>
        <w:pStyle w:val="966"/>
      </w:pPr>
      <w:r>
        <w:rPr>
          <w:rFonts w:hint="eastAsia"/>
        </w:rPr>
        <w:t xml:space="preserve">2.1</w:t>
      </w:r>
      <w:r>
        <w:rPr>
          <w:rFonts w:hint="eastAsia"/>
          <w:lang w:val="en-US" w:eastAsia="zh-CN"/>
        </w:rPr>
        <w:t xml:space="preserve">4</w:t>
      </w:r>
      <w:r>
        <w:rPr>
          <w:rFonts w:hint="eastAsia"/>
        </w:rPr>
        <w:t xml:space="preserve">.2.7.宽泛的检测对象：高吸光度范围，可用于无法稀释的高吸光度固体样本，也适用于高吸光度液体样本避免繁琐的反复稀释。</w:t>
      </w:r>
      <w:r/>
    </w:p>
    <w:p>
      <w:pPr>
        <w:pStyle w:val="966"/>
      </w:pPr>
      <w:r>
        <w:rPr>
          <w:rFonts w:hint="eastAsia"/>
        </w:rPr>
        <w:t xml:space="preserve">2.1</w:t>
      </w:r>
      <w:r>
        <w:rPr>
          <w:rFonts w:hint="eastAsia"/>
          <w:lang w:val="en-US" w:eastAsia="zh-CN"/>
        </w:rPr>
        <w:t xml:space="preserve">4</w:t>
      </w:r>
      <w:r>
        <w:rPr>
          <w:rFonts w:hint="eastAsia"/>
        </w:rPr>
        <w:t xml:space="preserve">.</w:t>
      </w:r>
      <w:r>
        <w:t xml:space="preserve">3</w:t>
      </w:r>
      <w:r>
        <w:rPr>
          <w:rFonts w:hint="eastAsia"/>
        </w:rPr>
        <w:t xml:space="preserve">.仪器配置要求</w:t>
      </w:r>
      <w:r/>
    </w:p>
    <w:p>
      <w:pPr>
        <w:pStyle w:val="966"/>
      </w:pPr>
      <w:r>
        <w:rPr>
          <w:rFonts w:hint="eastAsia"/>
        </w:rPr>
        <w:t xml:space="preserve">2.1</w:t>
      </w:r>
      <w:r>
        <w:rPr>
          <w:rFonts w:hint="eastAsia"/>
          <w:lang w:val="en-US" w:eastAsia="zh-CN"/>
        </w:rPr>
        <w:t xml:space="preserve">4</w:t>
      </w:r>
      <w:r>
        <w:rPr>
          <w:rFonts w:hint="eastAsia"/>
        </w:rPr>
        <w:t xml:space="preserve">.3.1、紫外可见分光光度计1台；</w:t>
      </w:r>
      <w:r/>
    </w:p>
    <w:p>
      <w:pPr>
        <w:pStyle w:val="966"/>
      </w:pPr>
      <w:r>
        <w:rPr>
          <w:rFonts w:hint="eastAsia"/>
        </w:rPr>
        <w:t xml:space="preserve">2.1</w:t>
      </w:r>
      <w:r>
        <w:rPr>
          <w:rFonts w:hint="eastAsia"/>
          <w:lang w:val="en-US" w:eastAsia="zh-CN"/>
        </w:rPr>
        <w:t xml:space="preserve">4</w:t>
      </w:r>
      <w:r>
        <w:rPr>
          <w:rFonts w:hint="eastAsia"/>
        </w:rPr>
        <w:t xml:space="preserve">.3.2、紫外控制软件1套；</w:t>
      </w:r>
      <w:r/>
    </w:p>
    <w:p>
      <w:pPr>
        <w:pStyle w:val="966"/>
      </w:pPr>
      <w:r>
        <w:rPr>
          <w:rFonts w:hint="eastAsia"/>
        </w:rPr>
        <w:t xml:space="preserve">2.1</w:t>
      </w:r>
      <w:r>
        <w:rPr>
          <w:rFonts w:hint="eastAsia"/>
          <w:lang w:val="en-US" w:eastAsia="zh-CN"/>
        </w:rPr>
        <w:t xml:space="preserve">4</w:t>
      </w:r>
      <w:r>
        <w:rPr>
          <w:rFonts w:hint="eastAsia"/>
        </w:rPr>
        <w:t xml:space="preserve">.3.3、五联长样品池架1套；</w:t>
      </w:r>
      <w:r/>
    </w:p>
    <w:p>
      <w:pPr>
        <w:pStyle w:val="966"/>
        <w:rPr>
          <w:rFonts w:hint="eastAsia" w:eastAsia="宋体"/>
          <w:lang w:eastAsia="zh-CN"/>
        </w:rPr>
      </w:pPr>
      <w:r>
        <w:rPr>
          <w:rFonts w:hint="eastAsia"/>
        </w:rPr>
        <w:t xml:space="preserve">2.1</w:t>
      </w:r>
      <w:r>
        <w:rPr>
          <w:rFonts w:hint="eastAsia"/>
          <w:lang w:val="en-US" w:eastAsia="zh-CN"/>
        </w:rPr>
        <w:t xml:space="preserve">4</w:t>
      </w:r>
      <w:r>
        <w:rPr>
          <w:rFonts w:hint="eastAsia"/>
        </w:rPr>
        <w:t xml:space="preserve">.3.4、10mm*10mm石英比色皿1对。</w:t>
      </w:r>
      <w:r/>
    </w:p>
    <w:p>
      <w:pPr>
        <w:pStyle w:val="966"/>
        <w:rPr>
          <w:b/>
          <w:bCs/>
        </w:rPr>
      </w:pPr>
      <w:r>
        <w:rPr>
          <w:rFonts w:hint="eastAsia"/>
          <w:b/>
          <w:bCs/>
        </w:rPr>
        <w:t xml:space="preserve">2.1</w:t>
      </w:r>
      <w:r>
        <w:rPr>
          <w:rFonts w:hint="eastAsia"/>
          <w:b/>
          <w:bCs/>
          <w:lang w:val="en-US" w:eastAsia="zh-CN"/>
        </w:rPr>
        <w:t xml:space="preserve">5</w:t>
      </w:r>
      <w:r>
        <w:rPr>
          <w:rFonts w:hint="eastAsia"/>
          <w:b/>
          <w:bCs/>
        </w:rPr>
        <w:t xml:space="preserve">.原子荧光光度计</w:t>
      </w:r>
      <w:r/>
    </w:p>
    <w:p>
      <w:pPr>
        <w:pStyle w:val="966"/>
      </w:pPr>
      <w:r>
        <w:rPr>
          <w:rFonts w:hint="eastAsia"/>
        </w:rPr>
        <w:t xml:space="preserve">2.1</w:t>
      </w:r>
      <w:r>
        <w:rPr>
          <w:rFonts w:hint="eastAsia"/>
          <w:lang w:val="en-US" w:eastAsia="zh-CN"/>
        </w:rPr>
        <w:t xml:space="preserve">5</w:t>
      </w:r>
      <w:r>
        <w:rPr>
          <w:rFonts w:hint="eastAsia"/>
        </w:rPr>
        <w:t xml:space="preserve">.1.用途</w:t>
      </w:r>
      <w:r/>
    </w:p>
    <w:p>
      <w:pPr>
        <w:pStyle w:val="966"/>
      </w:pPr>
      <w:r>
        <w:rPr>
          <w:rFonts w:hint="eastAsia"/>
        </w:rPr>
        <w:t xml:space="preserve">用于样品中As、Sb、Bi、Hg、Se、Te、Sn、Ge、Pb、Zn、Cd等元素的痕量分析。可升级形态元素分析仪做As、Se、Hg、Sb等元素的形态分析。</w:t>
      </w:r>
      <w:r/>
    </w:p>
    <w:p>
      <w:pPr>
        <w:pStyle w:val="966"/>
      </w:pPr>
      <w:r>
        <w:rPr>
          <w:rFonts w:hint="eastAsia"/>
        </w:rPr>
        <w:t xml:space="preserve">2.1</w:t>
      </w:r>
      <w:r>
        <w:rPr>
          <w:rFonts w:hint="eastAsia"/>
          <w:lang w:val="en-US" w:eastAsia="zh-CN"/>
        </w:rPr>
        <w:t xml:space="preserve">5</w:t>
      </w:r>
      <w:r>
        <w:rPr>
          <w:rFonts w:hint="eastAsia"/>
        </w:rPr>
        <w:t xml:space="preserve">.2.技术性能指标要求</w:t>
      </w:r>
      <w:r/>
    </w:p>
    <w:p>
      <w:pPr>
        <w:pStyle w:val="966"/>
        <w:rPr>
          <w:b/>
          <w:bCs/>
        </w:rPr>
      </w:pPr>
      <w:r>
        <w:rPr>
          <w:rFonts w:hint="eastAsia"/>
        </w:rPr>
        <w:t xml:space="preserve">▲2.1</w:t>
      </w:r>
      <w:r>
        <w:rPr>
          <w:rFonts w:hint="eastAsia"/>
          <w:lang w:val="en-US" w:eastAsia="zh-CN"/>
        </w:rPr>
        <w:t xml:space="preserve">5</w:t>
      </w:r>
      <w:r>
        <w:rPr>
          <w:rFonts w:hint="eastAsia"/>
        </w:rPr>
        <w:t xml:space="preserve">.2.1气动流路系统：系统采用氩气作为动力源，实现进液、计量、排液功能自动化，无需人工维护，无需购买耗材；比传统的蠕动泵进样系统进样更稳定，更精确；同时避免机械磨损引起的漏液问题</w:t>
      </w:r>
      <w:r>
        <w:rPr>
          <w:rFonts w:hint="eastAsia"/>
          <w:lang w:eastAsia="zh-CN"/>
        </w:rPr>
        <w:t xml:space="preserve">；</w:t>
      </w:r>
      <w:r>
        <w:rPr>
          <w:rFonts w:hint="eastAsia"/>
        </w:rPr>
        <w:t xml:space="preserve">双光束光学系统：双光束光路设计实现同一接收器分时采集样品及参比信号，克服了单光束仪器光源及接收器温漂对测量结果的影响，保障测量结果的稳定性</w:t>
      </w:r>
      <w:r>
        <w:rPr>
          <w:rFonts w:hint="eastAsia"/>
          <w:lang w:eastAsia="zh-CN"/>
        </w:rPr>
        <w:t xml:space="preserve">；</w:t>
      </w:r>
      <w:r>
        <w:rPr>
          <w:rFonts w:hint="eastAsia"/>
        </w:rPr>
        <w:t xml:space="preserve">标配外置式三维直角坐标式自动进样器，可自动稀释，自动配置标准曲线；独立分区模块化设计，可实现任意样品个数连续进样，无需停机直接检测；</w:t>
      </w:r>
      <w:r>
        <w:rPr>
          <w:rFonts w:hint="eastAsia"/>
          <w:b/>
          <w:bCs/>
        </w:rPr>
        <w:t xml:space="preserve">（提供原厂彩页及官网截图并加盖投标人公章）</w:t>
      </w:r>
      <w:r/>
    </w:p>
    <w:p>
      <w:pPr>
        <w:pStyle w:val="966"/>
      </w:pPr>
      <w:r>
        <w:rPr>
          <w:rFonts w:hint="eastAsia"/>
        </w:rPr>
        <w:t xml:space="preserve">2.1</w:t>
      </w:r>
      <w:r>
        <w:rPr>
          <w:rFonts w:hint="eastAsia"/>
          <w:lang w:val="en-US" w:eastAsia="zh-CN"/>
        </w:rPr>
        <w:t xml:space="preserve">5</w:t>
      </w:r>
      <w:r>
        <w:rPr>
          <w:rFonts w:hint="eastAsia"/>
        </w:rPr>
        <w:t xml:space="preserve">.2.</w:t>
      </w:r>
      <w:r>
        <w:rPr>
          <w:rFonts w:hint="eastAsia"/>
          <w:lang w:val="en-US" w:eastAsia="zh-CN"/>
        </w:rPr>
        <w:t xml:space="preserve">2</w:t>
      </w:r>
      <w:r>
        <w:rPr>
          <w:rFonts w:hint="eastAsia"/>
        </w:rPr>
        <w:t xml:space="preserve">卷流式气液分离器 ：磁力搅拌形成卷流，使样品和还原剂混合更加充分，有效提高分析结果的重现性。</w:t>
      </w:r>
      <w:r/>
    </w:p>
    <w:p>
      <w:pPr>
        <w:pStyle w:val="966"/>
      </w:pPr>
      <w:r>
        <w:rPr>
          <w:rFonts w:hint="eastAsia"/>
        </w:rPr>
        <w:t xml:space="preserve">2.1</w:t>
      </w:r>
      <w:r>
        <w:rPr>
          <w:rFonts w:hint="eastAsia"/>
          <w:lang w:val="en-US" w:eastAsia="zh-CN"/>
        </w:rPr>
        <w:t xml:space="preserve">5</w:t>
      </w:r>
      <w:r>
        <w:rPr>
          <w:rFonts w:hint="eastAsia"/>
        </w:rPr>
        <w:t xml:space="preserve">.2.</w:t>
      </w:r>
      <w:r>
        <w:rPr>
          <w:rFonts w:hint="eastAsia"/>
          <w:lang w:val="en-US" w:eastAsia="zh-CN"/>
        </w:rPr>
        <w:t xml:space="preserve">3</w:t>
      </w:r>
      <w:r>
        <w:rPr>
          <w:rFonts w:hint="eastAsia"/>
        </w:rPr>
        <w:t xml:space="preserve">高效电子除水装置：采用特殊构造Peltier冷凝装置，保障氢化物中的水含量降到最低，减少荧光猝灭，有效提高检测灵敏度。</w:t>
      </w:r>
      <w:r/>
    </w:p>
    <w:p>
      <w:pPr>
        <w:pStyle w:val="966"/>
      </w:pPr>
      <w:r>
        <w:rPr>
          <w:rFonts w:hint="eastAsia"/>
        </w:rPr>
        <w:t xml:space="preserve">2.1</w:t>
      </w:r>
      <w:r>
        <w:rPr>
          <w:rFonts w:hint="eastAsia"/>
          <w:lang w:val="en-US" w:eastAsia="zh-CN"/>
        </w:rPr>
        <w:t xml:space="preserve">5</w:t>
      </w:r>
      <w:r>
        <w:rPr>
          <w:rFonts w:hint="eastAsia"/>
        </w:rPr>
        <w:t xml:space="preserve">.2.</w:t>
      </w:r>
      <w:r>
        <w:rPr>
          <w:rFonts w:hint="eastAsia"/>
          <w:lang w:val="en-US" w:eastAsia="zh-CN"/>
        </w:rPr>
        <w:t xml:space="preserve">4</w:t>
      </w:r>
      <w:r>
        <w:rPr>
          <w:rFonts w:hint="eastAsia"/>
        </w:rPr>
        <w:t xml:space="preserve">免调元素灯组件：免调组件保障元素灯处于最佳工作状态，可直接使用，无需调整。</w:t>
      </w:r>
      <w:r/>
    </w:p>
    <w:p>
      <w:pPr>
        <w:pStyle w:val="966"/>
      </w:pPr>
      <w:r>
        <w:rPr>
          <w:rFonts w:hint="eastAsia"/>
        </w:rPr>
        <w:t xml:space="preserve">2.1</w:t>
      </w:r>
      <w:r>
        <w:rPr>
          <w:rFonts w:hint="eastAsia"/>
          <w:lang w:val="en-US" w:eastAsia="zh-CN"/>
        </w:rPr>
        <w:t xml:space="preserve">5</w:t>
      </w:r>
      <w:r>
        <w:rPr>
          <w:rFonts w:hint="eastAsia"/>
        </w:rPr>
        <w:t xml:space="preserve">.2.</w:t>
      </w:r>
      <w:r>
        <w:rPr>
          <w:rFonts w:hint="eastAsia"/>
          <w:lang w:val="en-US" w:eastAsia="zh-CN"/>
        </w:rPr>
        <w:t xml:space="preserve">5</w:t>
      </w:r>
      <w:r>
        <w:rPr>
          <w:rFonts w:hint="eastAsia"/>
        </w:rPr>
        <w:t xml:space="preserve">内置形态分析接口：与同品牌形态分析单元的连接简单，方便升级对As、Se、Hg、Sb等元素进行形态分析。</w:t>
      </w:r>
      <w:r/>
    </w:p>
    <w:p>
      <w:pPr>
        <w:pStyle w:val="966"/>
      </w:pPr>
      <w:r>
        <w:rPr>
          <w:rFonts w:hint="eastAsia"/>
        </w:rPr>
        <w:t xml:space="preserve">2.1</w:t>
      </w:r>
      <w:r>
        <w:rPr>
          <w:rFonts w:hint="eastAsia"/>
          <w:lang w:val="en-US" w:eastAsia="zh-CN"/>
        </w:rPr>
        <w:t xml:space="preserve">5</w:t>
      </w:r>
      <w:r>
        <w:rPr>
          <w:rFonts w:hint="eastAsia"/>
        </w:rPr>
        <w:t xml:space="preserve">.2.</w:t>
      </w:r>
      <w:r>
        <w:rPr>
          <w:rFonts w:hint="eastAsia"/>
          <w:lang w:val="en-US" w:eastAsia="zh-CN"/>
        </w:rPr>
        <w:t xml:space="preserve">6</w:t>
      </w:r>
      <w:r>
        <w:rPr>
          <w:rFonts w:hint="eastAsia"/>
        </w:rPr>
        <w:t xml:space="preserve">自动进样器可直接放置10ml、25ml、50ml具塞比色管，使样品处理、测量使用同一容器，无需人工二次转移。</w:t>
      </w:r>
      <w:r/>
    </w:p>
    <w:p>
      <w:pPr>
        <w:pStyle w:val="966"/>
      </w:pPr>
      <w:r>
        <w:rPr>
          <w:rFonts w:hint="eastAsia"/>
        </w:rPr>
        <w:t xml:space="preserve">2.1</w:t>
      </w:r>
      <w:r>
        <w:rPr>
          <w:rFonts w:hint="eastAsia"/>
          <w:lang w:val="en-US" w:eastAsia="zh-CN"/>
        </w:rPr>
        <w:t xml:space="preserve">5</w:t>
      </w:r>
      <w:r>
        <w:rPr>
          <w:rFonts w:hint="eastAsia"/>
        </w:rPr>
        <w:t xml:space="preserve">.2.</w:t>
      </w:r>
      <w:r>
        <w:rPr>
          <w:rFonts w:hint="eastAsia"/>
          <w:lang w:val="en-US" w:eastAsia="zh-CN"/>
        </w:rPr>
        <w:t xml:space="preserve">7</w:t>
      </w:r>
      <w:r>
        <w:rPr>
          <w:rFonts w:hint="eastAsia"/>
        </w:rPr>
        <w:t xml:space="preserve">智能控制功能：开机常规检测，故障自诊断，自动炉高；氩气自动节气、缺气报警；试剂漏液诊断、缺液报警；废液溢满报警；测试条件实时监测等功能。重要操作日志，故障自诊断报告，灯使用记录等，提供仪器运行状态的维护信息。</w:t>
      </w:r>
      <w:r/>
    </w:p>
    <w:p>
      <w:pPr>
        <w:pStyle w:val="966"/>
      </w:pPr>
      <w:r>
        <w:rPr>
          <w:rFonts w:hint="eastAsia"/>
        </w:rPr>
        <w:t xml:space="preserve">2.1</w:t>
      </w:r>
      <w:r>
        <w:rPr>
          <w:rFonts w:hint="eastAsia"/>
          <w:lang w:val="en-US" w:eastAsia="zh-CN"/>
        </w:rPr>
        <w:t xml:space="preserve">5</w:t>
      </w:r>
      <w:r>
        <w:rPr>
          <w:rFonts w:hint="eastAsia"/>
        </w:rPr>
        <w:t xml:space="preserve">.2.</w:t>
      </w:r>
      <w:r>
        <w:rPr>
          <w:rFonts w:hint="eastAsia"/>
          <w:lang w:val="en-US" w:eastAsia="zh-CN"/>
        </w:rPr>
        <w:t xml:space="preserve">8</w:t>
      </w:r>
      <w:r>
        <w:rPr>
          <w:rFonts w:hint="eastAsia"/>
        </w:rPr>
        <w:t xml:space="preserve">功能强大的仪器操作软件：可实现多用户管理，保证数据安全。对仪器进行自我诊断，实现自动查找故障信息；软件实时帮助提醒功能。将用户编辑器使用条件和测量参数作为方法文件保存，实现直接调用；提供资源文件录入、搜索、打开、修改、保存等功能。重要信息进行记录，并生成日志文件。</w:t>
      </w:r>
      <w:r/>
    </w:p>
    <w:p>
      <w:pPr>
        <w:pStyle w:val="966"/>
      </w:pPr>
      <w:r>
        <w:rPr>
          <w:rFonts w:hint="eastAsia"/>
        </w:rPr>
        <w:t xml:space="preserve">2.1</w:t>
      </w:r>
      <w:r>
        <w:rPr>
          <w:rFonts w:hint="eastAsia"/>
          <w:lang w:val="en-US" w:eastAsia="zh-CN"/>
        </w:rPr>
        <w:t xml:space="preserve">5</w:t>
      </w:r>
      <w:r>
        <w:rPr>
          <w:rFonts w:hint="eastAsia"/>
        </w:rPr>
        <w:t xml:space="preserve">.2.</w:t>
      </w:r>
      <w:r>
        <w:rPr>
          <w:rFonts w:hint="eastAsia"/>
          <w:lang w:val="en-US" w:eastAsia="zh-CN"/>
        </w:rPr>
        <w:t xml:space="preserve">9</w:t>
      </w:r>
      <w:r>
        <w:rPr>
          <w:rFonts w:hint="eastAsia"/>
        </w:rPr>
        <w:t xml:space="preserve">安全、环保的整体结构设计：密封的原子化器腔室，废气由特制试剂包吸收，两级废气处理。全封闭式废液瓶，避免酸气、废气的挥发，减少对实验室环境的污染和实验人员的伤害。</w:t>
      </w:r>
      <w:r/>
    </w:p>
    <w:p>
      <w:pPr>
        <w:pStyle w:val="966"/>
      </w:pPr>
      <w:r>
        <w:rPr>
          <w:rFonts w:hint="eastAsia"/>
        </w:rPr>
        <w:t xml:space="preserve">2.1</w:t>
      </w:r>
      <w:r>
        <w:rPr>
          <w:rFonts w:hint="eastAsia"/>
          <w:lang w:val="en-US" w:eastAsia="zh-CN"/>
        </w:rPr>
        <w:t xml:space="preserve">5</w:t>
      </w:r>
      <w:r>
        <w:rPr>
          <w:rFonts w:hint="eastAsia"/>
        </w:rPr>
        <w:t xml:space="preserve">.2.1</w:t>
      </w:r>
      <w:r>
        <w:rPr>
          <w:rFonts w:hint="eastAsia"/>
          <w:lang w:val="en-US" w:eastAsia="zh-CN"/>
        </w:rPr>
        <w:t xml:space="preserve">0</w:t>
      </w:r>
      <w:r>
        <w:rPr>
          <w:rFonts w:hint="eastAsia"/>
        </w:rPr>
        <w:t xml:space="preserve">检出限（μg/L）：Hg ≤0.001 ng/mL；As、Sb、 Bi≤ 0.01 ng/mL</w:t>
      </w:r>
      <w:r/>
    </w:p>
    <w:p>
      <w:pPr>
        <w:pStyle w:val="966"/>
      </w:pPr>
      <w:r>
        <w:rPr>
          <w:rFonts w:hint="eastAsia"/>
        </w:rPr>
        <w:t xml:space="preserve">2.1</w:t>
      </w:r>
      <w:r>
        <w:rPr>
          <w:rFonts w:hint="eastAsia"/>
          <w:lang w:val="en-US" w:eastAsia="zh-CN"/>
        </w:rPr>
        <w:t xml:space="preserve">5</w:t>
      </w:r>
      <w:r>
        <w:rPr>
          <w:rFonts w:hint="eastAsia"/>
        </w:rPr>
        <w:t xml:space="preserve">.2.1</w:t>
      </w:r>
      <w:r>
        <w:rPr>
          <w:rFonts w:hint="eastAsia"/>
          <w:lang w:val="en-US" w:eastAsia="zh-CN"/>
        </w:rPr>
        <w:t xml:space="preserve">1</w:t>
      </w:r>
      <w:r>
        <w:rPr>
          <w:rFonts w:hint="eastAsia"/>
        </w:rPr>
        <w:t xml:space="preserve">偏移≤1.5%</w:t>
      </w:r>
      <w:r/>
    </w:p>
    <w:p>
      <w:pPr>
        <w:pStyle w:val="966"/>
      </w:pPr>
      <w:r>
        <w:rPr>
          <w:rFonts w:hint="eastAsia"/>
        </w:rPr>
        <w:t xml:space="preserve">2.1</w:t>
      </w:r>
      <w:r>
        <w:rPr>
          <w:rFonts w:hint="eastAsia"/>
          <w:lang w:val="en-US" w:eastAsia="zh-CN"/>
        </w:rPr>
        <w:t xml:space="preserve">5</w:t>
      </w:r>
      <w:r>
        <w:rPr>
          <w:rFonts w:hint="eastAsia"/>
        </w:rPr>
        <w:t xml:space="preserve">.2.1</w:t>
      </w:r>
      <w:r>
        <w:rPr>
          <w:rFonts w:hint="eastAsia"/>
          <w:lang w:val="en-US" w:eastAsia="zh-CN"/>
        </w:rPr>
        <w:t xml:space="preserve">2</w:t>
      </w:r>
      <w:r>
        <w:rPr>
          <w:rFonts w:hint="eastAsia"/>
        </w:rPr>
        <w:t xml:space="preserve"> 噪声≤1.5%</w:t>
      </w:r>
      <w:r/>
    </w:p>
    <w:p>
      <w:pPr>
        <w:pStyle w:val="966"/>
      </w:pPr>
      <w:r>
        <w:rPr>
          <w:rFonts w:hint="eastAsia"/>
        </w:rPr>
        <w:t xml:space="preserve">2.1</w:t>
      </w:r>
      <w:r>
        <w:rPr>
          <w:rFonts w:hint="eastAsia"/>
          <w:lang w:val="en-US" w:eastAsia="zh-CN"/>
        </w:rPr>
        <w:t xml:space="preserve">5</w:t>
      </w:r>
      <w:r>
        <w:rPr>
          <w:rFonts w:hint="eastAsia"/>
        </w:rPr>
        <w:t xml:space="preserve">.2.1</w:t>
      </w:r>
      <w:r>
        <w:rPr>
          <w:rFonts w:hint="eastAsia"/>
          <w:lang w:val="en-US" w:eastAsia="zh-CN"/>
        </w:rPr>
        <w:t xml:space="preserve">3</w:t>
      </w:r>
      <w:r>
        <w:rPr>
          <w:rFonts w:hint="eastAsia"/>
        </w:rPr>
        <w:t xml:space="preserve"> RSD≤1.0% </w:t>
      </w:r>
      <w:r/>
    </w:p>
    <w:p>
      <w:pPr>
        <w:pStyle w:val="966"/>
      </w:pPr>
      <w:r>
        <w:rPr>
          <w:rFonts w:hint="eastAsia"/>
        </w:rPr>
        <w:t xml:space="preserve">2.1</w:t>
      </w:r>
      <w:r>
        <w:rPr>
          <w:rFonts w:hint="eastAsia"/>
          <w:lang w:val="en-US" w:eastAsia="zh-CN"/>
        </w:rPr>
        <w:t xml:space="preserve">5</w:t>
      </w:r>
      <w:r>
        <w:rPr>
          <w:rFonts w:hint="eastAsia"/>
        </w:rPr>
        <w:t xml:space="preserve">.2.1</w:t>
      </w:r>
      <w:r>
        <w:rPr>
          <w:rFonts w:hint="eastAsia"/>
          <w:lang w:val="en-US" w:eastAsia="zh-CN"/>
        </w:rPr>
        <w:t xml:space="preserve">4</w:t>
      </w:r>
      <w:r>
        <w:rPr>
          <w:rFonts w:hint="eastAsia"/>
        </w:rPr>
        <w:t xml:space="preserve">检测器：光电倍增管</w:t>
      </w:r>
      <w:r/>
    </w:p>
    <w:p>
      <w:pPr>
        <w:pStyle w:val="966"/>
      </w:pPr>
      <w:r>
        <w:rPr>
          <w:rFonts w:hint="eastAsia"/>
        </w:rPr>
        <w:t xml:space="preserve">2.1</w:t>
      </w:r>
      <w:r>
        <w:rPr>
          <w:rFonts w:hint="eastAsia"/>
          <w:lang w:val="en-US" w:eastAsia="zh-CN"/>
        </w:rPr>
        <w:t xml:space="preserve">5</w:t>
      </w:r>
      <w:r>
        <w:rPr>
          <w:rFonts w:hint="eastAsia"/>
        </w:rPr>
        <w:t xml:space="preserve">.3.仪器配置要求：</w:t>
      </w:r>
      <w:r/>
    </w:p>
    <w:p>
      <w:pPr>
        <w:pStyle w:val="966"/>
      </w:pPr>
      <w:r>
        <w:rPr>
          <w:rFonts w:hint="eastAsia"/>
        </w:rPr>
        <w:t xml:space="preserve">2.1</w:t>
      </w:r>
      <w:r>
        <w:rPr>
          <w:rFonts w:hint="eastAsia"/>
          <w:lang w:val="en-US" w:eastAsia="zh-CN"/>
        </w:rPr>
        <w:t xml:space="preserve">5</w:t>
      </w:r>
      <w:r>
        <w:rPr>
          <w:rFonts w:hint="eastAsia"/>
        </w:rPr>
        <w:t xml:space="preserve">.3.1双通道及以上原子荧光主机（含操作软件）1套；</w:t>
      </w:r>
      <w:r/>
    </w:p>
    <w:p>
      <w:pPr>
        <w:pStyle w:val="966"/>
      </w:pPr>
      <w:r>
        <w:rPr>
          <w:rFonts w:hint="eastAsia"/>
        </w:rPr>
        <w:t xml:space="preserve">2.1</w:t>
      </w:r>
      <w:r>
        <w:rPr>
          <w:rFonts w:hint="eastAsia"/>
          <w:lang w:val="en-US" w:eastAsia="zh-CN"/>
        </w:rPr>
        <w:t xml:space="preserve">5</w:t>
      </w:r>
      <w:r>
        <w:rPr>
          <w:rFonts w:hint="eastAsia"/>
        </w:rPr>
        <w:t xml:space="preserve">.3.2石英原子化器 1套；</w:t>
      </w:r>
      <w:r/>
    </w:p>
    <w:p>
      <w:pPr>
        <w:pStyle w:val="966"/>
      </w:pPr>
      <w:r>
        <w:rPr>
          <w:rFonts w:hint="eastAsia"/>
        </w:rPr>
        <w:t xml:space="preserve">2.1</w:t>
      </w:r>
      <w:r>
        <w:rPr>
          <w:rFonts w:hint="eastAsia"/>
          <w:lang w:val="en-US" w:eastAsia="zh-CN"/>
        </w:rPr>
        <w:t xml:space="preserve">5</w:t>
      </w:r>
      <w:r>
        <w:rPr>
          <w:rFonts w:hint="eastAsia"/>
        </w:rPr>
        <w:t xml:space="preserve">.3.3外置分区式自动进样器1套；</w:t>
      </w:r>
      <w:r/>
    </w:p>
    <w:p>
      <w:pPr>
        <w:pStyle w:val="966"/>
      </w:pPr>
      <w:r>
        <w:rPr>
          <w:rFonts w:hint="eastAsia"/>
        </w:rPr>
        <w:t xml:space="preserve">2.1</w:t>
      </w:r>
      <w:r>
        <w:rPr>
          <w:rFonts w:hint="eastAsia"/>
          <w:lang w:val="en-US" w:eastAsia="zh-CN"/>
        </w:rPr>
        <w:t xml:space="preserve">5</w:t>
      </w:r>
      <w:r>
        <w:rPr>
          <w:rFonts w:hint="eastAsia"/>
        </w:rPr>
        <w:t xml:space="preserve">.3.4中文软件1套；</w:t>
      </w:r>
      <w:r/>
    </w:p>
    <w:p>
      <w:pPr>
        <w:pStyle w:val="966"/>
        <w:rPr>
          <w:rFonts w:hint="eastAsia"/>
        </w:rPr>
      </w:pPr>
      <w:r>
        <w:rPr>
          <w:rFonts w:hint="eastAsia"/>
        </w:rPr>
        <w:t xml:space="preserve">2.1</w:t>
      </w:r>
      <w:r>
        <w:rPr>
          <w:rFonts w:hint="eastAsia"/>
          <w:lang w:val="en-US" w:eastAsia="zh-CN"/>
        </w:rPr>
        <w:t xml:space="preserve">5</w:t>
      </w:r>
      <w:r>
        <w:rPr>
          <w:rFonts w:hint="eastAsia"/>
        </w:rPr>
        <w:t xml:space="preserve">.3.5配件：高性能智能免调灯组，3支；气液分离器、全封闭PE环保废液桶、碳纤维进样针、管路，各1套；三联气密集成瓶1套；10ml、25ml、50ml样品架各1个；10ml具塞比色管36个、25ml具塞比色管18个、50ml具塞比色管12个；</w:t>
      </w:r>
      <w:r/>
    </w:p>
    <w:p>
      <w:pPr>
        <w:pStyle w:val="966"/>
        <w:rPr>
          <w:b/>
          <w:bCs/>
        </w:rPr>
      </w:pPr>
      <w:r>
        <w:rPr>
          <w:rFonts w:hint="eastAsia"/>
          <w:b/>
          <w:bCs/>
        </w:rPr>
        <w:t xml:space="preserve">2.1</w:t>
      </w:r>
      <w:r>
        <w:rPr>
          <w:rFonts w:hint="eastAsia"/>
          <w:b/>
          <w:bCs/>
          <w:lang w:val="en-US" w:eastAsia="zh-CN"/>
        </w:rPr>
        <w:t xml:space="preserve">6</w:t>
      </w:r>
      <w:r>
        <w:rPr>
          <w:rFonts w:hint="eastAsia"/>
          <w:b/>
          <w:bCs/>
        </w:rPr>
        <w:t xml:space="preserve">.</w:t>
      </w:r>
      <w:r>
        <w:rPr>
          <w:rFonts w:hint="eastAsia"/>
          <w:b/>
          <w:bCs/>
          <w:lang w:val="en-US" w:eastAsia="zh-CN"/>
        </w:rPr>
        <w:t xml:space="preserve">便携式藻密度测定</w:t>
      </w:r>
      <w:r>
        <w:rPr>
          <w:rFonts w:hint="eastAsia"/>
          <w:b/>
          <w:bCs/>
        </w:rPr>
        <w:t xml:space="preserve">仪</w:t>
      </w:r>
      <w:r/>
    </w:p>
    <w:p>
      <w:pPr>
        <w:pStyle w:val="966"/>
        <w:rPr>
          <w:rFonts w:hint="eastAsia"/>
        </w:rPr>
      </w:pPr>
      <w:r>
        <w:rPr>
          <w:rFonts w:hint="eastAsia"/>
        </w:rPr>
        <w:t xml:space="preserve">2.1</w:t>
      </w:r>
      <w:r>
        <w:rPr>
          <w:rFonts w:hint="eastAsia"/>
          <w:lang w:val="en-US" w:eastAsia="zh-CN"/>
        </w:rPr>
        <w:t xml:space="preserve">6</w:t>
      </w:r>
      <w:r>
        <w:rPr>
          <w:rFonts w:hint="eastAsia"/>
        </w:rPr>
        <w:t xml:space="preserve">.1、仪器实现叶绿素、蓝绿藻同时测定，支持扩展水温、fDOM、电导率、盐度、pH、ORP、溶解氧、浊度、硝氮、氨氮、氯化物等参数的功能</w:t>
      </w:r>
      <w:r/>
    </w:p>
    <w:p>
      <w:pPr>
        <w:pStyle w:val="966"/>
      </w:pPr>
      <w:r>
        <w:rPr>
          <w:rFonts w:hint="eastAsia"/>
        </w:rPr>
        <w:t xml:space="preserve">2.1</w:t>
      </w:r>
      <w:r>
        <w:rPr>
          <w:rFonts w:hint="eastAsia"/>
          <w:lang w:val="en-US" w:eastAsia="zh-CN"/>
        </w:rPr>
        <w:t xml:space="preserve">6</w:t>
      </w:r>
      <w:r>
        <w:rPr>
          <w:rFonts w:hint="eastAsia"/>
        </w:rPr>
        <w:t xml:space="preserve">.2、采用钛合金材质传感器，并配备自动清洁刷，具有防污损、耐腐蚀能力、防生物玷污能力；</w:t>
      </w:r>
      <w:r/>
    </w:p>
    <w:p>
      <w:pPr>
        <w:pStyle w:val="966"/>
      </w:pPr>
      <w:r>
        <w:rPr>
          <w:rFonts w:hint="eastAsia"/>
        </w:rPr>
        <w:t xml:space="preserve">2.1</w:t>
      </w:r>
      <w:r>
        <w:rPr>
          <w:rFonts w:hint="eastAsia"/>
          <w:lang w:val="en-US" w:eastAsia="zh-CN"/>
        </w:rPr>
        <w:t xml:space="preserve">6</w:t>
      </w:r>
      <w:r>
        <w:rPr>
          <w:rFonts w:hint="eastAsia"/>
        </w:rPr>
        <w:t xml:space="preserve">.3、所有传感器需带有背景数据、并具备自动寻址功能，仪器接口可自动智能识别不同传感器，传感器可自行存储校准记录；</w:t>
      </w:r>
      <w:r/>
    </w:p>
    <w:p>
      <w:pPr>
        <w:pStyle w:val="966"/>
        <w:rPr>
          <w:b/>
          <w:bCs/>
        </w:rPr>
      </w:pPr>
      <w:r>
        <w:rPr>
          <w:rFonts w:hint="eastAsia"/>
        </w:rPr>
        <w:t xml:space="preserve">▲2.1</w:t>
      </w:r>
      <w:r>
        <w:rPr>
          <w:rFonts w:hint="eastAsia"/>
          <w:lang w:val="en-US" w:eastAsia="zh-CN"/>
        </w:rPr>
        <w:t xml:space="preserve">6</w:t>
      </w:r>
      <w:r>
        <w:rPr>
          <w:rFonts w:hint="eastAsia"/>
        </w:rPr>
        <w:t xml:space="preserve">.4、主机可同时安装多支同参数传感器统一校准，节约校准时间和标液</w:t>
      </w:r>
      <w:r>
        <w:rPr>
          <w:rFonts w:hint="eastAsia"/>
          <w:lang w:eastAsia="zh-CN"/>
        </w:rPr>
        <w:t xml:space="preserve">；</w:t>
      </w:r>
      <w:r>
        <w:rPr>
          <w:rFonts w:hint="eastAsia"/>
        </w:rPr>
        <w:t xml:space="preserve">设备可进行自容监测，在自记录连续监测模式下可选定不少于两个指标设置阈值作为触发条件，超阈值加密监测，捕捉水质突变过程</w:t>
      </w:r>
      <w:r>
        <w:rPr>
          <w:rFonts w:hint="eastAsia"/>
          <w:b/>
          <w:bCs/>
        </w:rPr>
        <w:t xml:space="preserve">（提供</w:t>
      </w:r>
      <w:r>
        <w:rPr>
          <w:rFonts w:hint="eastAsia"/>
          <w:b/>
          <w:bCs/>
          <w:lang w:val="en-US"/>
        </w:rPr>
        <w:t xml:space="preserve">提供软件界面截图照片</w:t>
      </w:r>
      <w:r>
        <w:rPr>
          <w:rFonts w:hint="eastAsia"/>
          <w:b/>
          <w:bCs/>
          <w:lang w:val="en-US" w:eastAsia="zh-CN"/>
        </w:rPr>
        <w:t xml:space="preserve">及</w:t>
      </w:r>
      <w:r>
        <w:rPr>
          <w:rFonts w:hint="eastAsia"/>
          <w:b/>
          <w:bCs/>
        </w:rPr>
        <w:t xml:space="preserve">原厂彩页并加盖投标人公章）；</w:t>
      </w:r>
      <w:r/>
    </w:p>
    <w:p>
      <w:pPr>
        <w:pStyle w:val="966"/>
      </w:pPr>
      <w:r>
        <w:rPr>
          <w:rFonts w:hint="eastAsia"/>
        </w:rPr>
        <w:t xml:space="preserve">2.1</w:t>
      </w:r>
      <w:r>
        <w:rPr>
          <w:rFonts w:hint="eastAsia"/>
          <w:lang w:val="en-US" w:eastAsia="zh-CN"/>
        </w:rPr>
        <w:t xml:space="preserve">6</w:t>
      </w:r>
      <w:r>
        <w:rPr>
          <w:rFonts w:hint="eastAsia"/>
        </w:rPr>
        <w:t xml:space="preserve">.5、设备应具有湿插拔功能和带电热插拔功能,避免误操作带来的损坏风险；</w:t>
      </w:r>
      <w:r/>
    </w:p>
    <w:p>
      <w:pPr>
        <w:pStyle w:val="966"/>
      </w:pPr>
      <w:r>
        <w:rPr>
          <w:rFonts w:hint="eastAsia"/>
        </w:rPr>
        <w:t xml:space="preserve">2.1</w:t>
      </w:r>
      <w:r>
        <w:rPr>
          <w:rFonts w:hint="eastAsia"/>
          <w:lang w:val="en-US" w:eastAsia="zh-CN"/>
        </w:rPr>
        <w:t xml:space="preserve">6</w:t>
      </w:r>
      <w:r>
        <w:rPr>
          <w:rFonts w:hint="eastAsia"/>
        </w:rPr>
        <w:t xml:space="preserve">.6、无线蓝牙通讯，在野外不便接线情况下可传输数据，设置和校准仪器；</w:t>
      </w:r>
      <w:r/>
    </w:p>
    <w:p>
      <w:pPr>
        <w:pStyle w:val="966"/>
      </w:pPr>
      <w:r>
        <w:rPr>
          <w:rFonts w:hint="eastAsia"/>
        </w:rPr>
        <w:t xml:space="preserve">2.1</w:t>
      </w:r>
      <w:r>
        <w:rPr>
          <w:rFonts w:hint="eastAsia"/>
          <w:lang w:val="en-US" w:eastAsia="zh-CN"/>
        </w:rPr>
        <w:t xml:space="preserve">6</w:t>
      </w:r>
      <w:r>
        <w:rPr>
          <w:rFonts w:hint="eastAsia"/>
        </w:rPr>
        <w:t xml:space="preserve">.7、仪器软件应具有智能质量控制功能，能够自动检查故障和错误以保证成功的投放测量，确保避免故障、错误和数据丢失；</w:t>
      </w:r>
      <w:r/>
    </w:p>
    <w:p>
      <w:pPr>
        <w:pStyle w:val="966"/>
      </w:pPr>
      <w:r>
        <w:rPr>
          <w:rFonts w:hint="eastAsia"/>
        </w:rPr>
        <w:t xml:space="preserve">2.1</w:t>
      </w:r>
      <w:r>
        <w:rPr>
          <w:rFonts w:hint="eastAsia"/>
          <w:lang w:val="en-US" w:eastAsia="zh-CN"/>
        </w:rPr>
        <w:t xml:space="preserve">6</w:t>
      </w:r>
      <w:r>
        <w:rPr>
          <w:rFonts w:hint="eastAsia"/>
        </w:rPr>
        <w:t xml:space="preserve">.8、仪器存储容量应不小于512MB，应可存储不少于100万个读数记录，掉电不丢失数据；</w:t>
      </w:r>
      <w:r/>
    </w:p>
    <w:p>
      <w:pPr>
        <w:pStyle w:val="966"/>
      </w:pPr>
      <w:r>
        <w:rPr>
          <w:rFonts w:hint="eastAsia"/>
        </w:rPr>
        <w:t xml:space="preserve">2.1</w:t>
      </w:r>
      <w:r>
        <w:rPr>
          <w:rFonts w:hint="eastAsia"/>
          <w:lang w:val="en-US" w:eastAsia="zh-CN"/>
        </w:rPr>
        <w:t xml:space="preserve">6</w:t>
      </w:r>
      <w:r>
        <w:rPr>
          <w:rFonts w:hint="eastAsia"/>
        </w:rPr>
        <w:t xml:space="preserve">.</w:t>
      </w:r>
      <w:r>
        <w:rPr>
          <w:rFonts w:hint="eastAsia"/>
          <w:lang w:val="en-US" w:eastAsia="zh-CN"/>
        </w:rPr>
        <w:t xml:space="preserve">9</w:t>
      </w:r>
      <w:r>
        <w:rPr>
          <w:rFonts w:hint="eastAsia"/>
        </w:rPr>
        <w:t xml:space="preserve">手持器：带定位功能，记录测试点位置信息；带气压监测和自动补偿功能，可显示传感器序列号及校准记录；设置传感器自动测试记录间隔；可数值和折线图方式显示历史数据。</w:t>
      </w:r>
      <w:r/>
    </w:p>
    <w:p>
      <w:pPr>
        <w:pStyle w:val="966"/>
      </w:pPr>
      <w:r>
        <w:rPr>
          <w:rFonts w:hint="eastAsia"/>
        </w:rPr>
        <w:t xml:space="preserve">2.1</w:t>
      </w:r>
      <w:r>
        <w:rPr>
          <w:rFonts w:hint="eastAsia"/>
          <w:lang w:val="en-US" w:eastAsia="zh-CN"/>
        </w:rPr>
        <w:t xml:space="preserve">6</w:t>
      </w:r>
      <w:r>
        <w:rPr>
          <w:rFonts w:hint="eastAsia"/>
        </w:rPr>
        <w:t xml:space="preserve">.1</w:t>
      </w:r>
      <w:r>
        <w:rPr>
          <w:rFonts w:hint="eastAsia"/>
          <w:lang w:val="en-US" w:eastAsia="zh-CN"/>
        </w:rPr>
        <w:t xml:space="preserve">0</w:t>
      </w:r>
      <w:r>
        <w:rPr>
          <w:rFonts w:hint="eastAsia"/>
        </w:rPr>
        <w:t xml:space="preserve">、蓝绿藻：</w:t>
      </w:r>
      <w:r/>
    </w:p>
    <w:p>
      <w:pPr>
        <w:pStyle w:val="966"/>
      </w:pPr>
      <w:r>
        <w:rPr>
          <w:rFonts w:hint="eastAsia"/>
        </w:rPr>
        <w:t xml:space="preserve">测量范围：0-100ug/L;0-100RFU，准确度：线性：R</w:t>
      </w:r>
      <w:r>
        <w:rPr>
          <w:rFonts w:hint="eastAsia"/>
        </w:rPr>
        <w:t xml:space="preserve"> ²&gt;0.999，与罗丹明WT连续稀释相关（0-100ug/mL）；检出限：0.04 ug/LPC；分辨率：0.01 ug/L; 0.01 RFU；支持用户自建曲线。</w:t>
      </w:r>
      <w:r/>
    </w:p>
    <w:p>
      <w:pPr>
        <w:pStyle w:val="966"/>
      </w:pPr>
      <w:r>
        <w:rPr>
          <w:rFonts w:hint="eastAsia"/>
        </w:rPr>
        <w:t xml:space="preserve">2.1</w:t>
      </w:r>
      <w:r>
        <w:rPr>
          <w:rFonts w:hint="eastAsia"/>
          <w:lang w:val="en-US" w:eastAsia="zh-CN"/>
        </w:rPr>
        <w:t xml:space="preserve">6</w:t>
      </w:r>
      <w:r>
        <w:rPr>
          <w:rFonts w:hint="eastAsia"/>
        </w:rPr>
        <w:t xml:space="preserve">.1</w:t>
      </w:r>
      <w:r>
        <w:rPr>
          <w:rFonts w:hint="eastAsia"/>
          <w:lang w:val="en-US" w:eastAsia="zh-CN"/>
        </w:rPr>
        <w:t xml:space="preserve">1</w:t>
      </w:r>
      <w:r>
        <w:rPr>
          <w:rFonts w:hint="eastAsia"/>
        </w:rPr>
        <w:t xml:space="preserve">、叶绿素：</w:t>
      </w:r>
      <w:r/>
    </w:p>
    <w:p>
      <w:pPr>
        <w:pStyle w:val="966"/>
      </w:pPr>
      <w:r>
        <w:rPr>
          <w:rFonts w:hint="eastAsia"/>
        </w:rPr>
        <w:t xml:space="preserve">测量范围：0-400ug/L;0-100RFU，准确度：线性：R</w:t>
      </w:r>
      <w:r>
        <w:rPr>
          <w:rFonts w:hint="eastAsia"/>
        </w:rPr>
        <w:t xml:space="preserve"> ²&gt;0.999，与罗丹明WT连续稀释相关（0-400ug/mL）；检出限：0.09ug/LChl分辨率：0.01 ug/LChl;0.01 RFU。</w:t>
      </w:r>
      <w:r/>
    </w:p>
    <w:p>
      <w:pPr>
        <w:pStyle w:val="966"/>
      </w:pPr>
      <w:r>
        <w:rPr>
          <w:rFonts w:hint="eastAsia"/>
        </w:rPr>
        <w:t xml:space="preserve">2.1</w:t>
      </w:r>
      <w:r>
        <w:rPr>
          <w:rFonts w:hint="eastAsia"/>
          <w:lang w:val="en-US" w:eastAsia="zh-CN"/>
        </w:rPr>
        <w:t xml:space="preserve">6</w:t>
      </w:r>
      <w:r>
        <w:rPr>
          <w:rFonts w:hint="eastAsia"/>
        </w:rPr>
        <w:t xml:space="preserve">.1</w:t>
      </w:r>
      <w:r>
        <w:rPr>
          <w:rFonts w:hint="eastAsia"/>
          <w:lang w:val="en-US" w:eastAsia="zh-CN"/>
        </w:rPr>
        <w:t xml:space="preserve">2</w:t>
      </w:r>
      <w:r>
        <w:rPr>
          <w:rFonts w:hint="eastAsia"/>
        </w:rPr>
        <w:t xml:space="preserve">.配置：</w:t>
      </w:r>
      <w:r/>
    </w:p>
    <w:p>
      <w:pPr>
        <w:pStyle w:val="966"/>
      </w:pPr>
      <w:r>
        <w:rPr>
          <w:rFonts w:hint="eastAsia"/>
        </w:rPr>
        <w:t xml:space="preserve">        主机             1套</w:t>
      </w:r>
      <w:r/>
    </w:p>
    <w:p>
      <w:pPr>
        <w:pStyle w:val="966"/>
      </w:pPr>
      <w:r>
        <w:rPr>
          <w:rFonts w:hint="eastAsia"/>
        </w:rPr>
        <w:t xml:space="preserve">        手持器           1套</w:t>
      </w:r>
      <w:r/>
    </w:p>
    <w:p>
      <w:pPr>
        <w:pStyle w:val="966"/>
      </w:pPr>
      <w:r>
        <w:rPr>
          <w:rFonts w:hint="eastAsia"/>
        </w:rPr>
        <w:t xml:space="preserve">        总藻类传感器     1套</w:t>
      </w:r>
      <w:r/>
    </w:p>
    <w:p>
      <w:pPr>
        <w:pStyle w:val="966"/>
      </w:pPr>
      <w:r>
        <w:rPr>
          <w:rFonts w:hint="eastAsia"/>
        </w:rPr>
        <w:t xml:space="preserve">        野外线缆         1套</w:t>
      </w:r>
      <w:r/>
    </w:p>
    <w:p>
      <w:pPr>
        <w:pStyle w:val="966"/>
      </w:pPr>
      <w:r>
        <w:rPr>
          <w:rFonts w:hint="eastAsia"/>
        </w:rPr>
        <w:t xml:space="preserve">        校准液           1套</w:t>
      </w:r>
      <w:r/>
    </w:p>
    <w:p>
      <w:pPr>
        <w:pStyle w:val="966"/>
      </w:pPr>
      <w:r>
        <w:rPr>
          <w:rFonts w:hint="eastAsia"/>
        </w:rPr>
        <w:t xml:space="preserve">        便携箱           1个</w:t>
      </w:r>
      <w:r/>
    </w:p>
    <w:p>
      <w:pPr>
        <w:pStyle w:val="966"/>
        <w:rPr>
          <w:rFonts w:hint="eastAsia"/>
        </w:rPr>
      </w:pPr>
      <w:r>
        <w:rPr>
          <w:rFonts w:hint="eastAsia"/>
        </w:rPr>
      </w:r>
      <w:r/>
    </w:p>
    <w:p>
      <w:pPr>
        <w:pStyle w:val="966"/>
        <w:rPr>
          <w:b/>
          <w:bCs/>
        </w:rPr>
      </w:pPr>
      <w:r>
        <w:rPr>
          <w:rFonts w:hint="eastAsia"/>
          <w:b/>
          <w:bCs/>
        </w:rPr>
        <w:t xml:space="preserve">2.17.</w:t>
      </w:r>
      <w:r>
        <w:rPr>
          <w:rFonts w:hint="eastAsia"/>
          <w:b/>
          <w:bCs/>
          <w:lang w:val="en-US" w:eastAsia="zh-CN"/>
        </w:rPr>
        <w:t xml:space="preserve">三合一自动</w:t>
      </w:r>
      <w:r>
        <w:rPr>
          <w:rFonts w:hint="eastAsia"/>
          <w:b/>
          <w:bCs/>
        </w:rPr>
        <w:t xml:space="preserve">进样器</w:t>
      </w:r>
      <w:r/>
    </w:p>
    <w:p>
      <w:pPr>
        <w:pStyle w:val="966"/>
      </w:pPr>
      <w:r>
        <w:rPr>
          <w:rFonts w:hint="eastAsia"/>
        </w:rPr>
        <w:t xml:space="preserve">2.17.1.总体指标</w:t>
      </w:r>
      <w:r/>
    </w:p>
    <w:p>
      <w:pPr>
        <w:pStyle w:val="966"/>
        <w:rPr>
          <w:rFonts w:hint="eastAsia"/>
        </w:rPr>
      </w:pPr>
      <w:r>
        <w:rPr>
          <w:rFonts w:hint="eastAsia"/>
        </w:rPr>
        <w:t xml:space="preserve">2.17.1.1 采用伺服马达控制运动单元实现X-Y-Z三维移动，X主轴长度≥860mm，控制精度0.1mm；在同一个平台上可同时实现液体进样、顶空进样、顶空-SPME、SPME固相微萃取等功能，上述模块之间可以实现一键自动切换，无需手动更换换进样针和样品盘；</w:t>
      </w:r>
      <w:r/>
    </w:p>
    <w:p>
      <w:pPr>
        <w:pStyle w:val="966"/>
      </w:pPr>
      <w:r>
        <w:rPr>
          <w:rFonts w:hint="eastAsia"/>
        </w:rPr>
        <w:t xml:space="preserve">2.17.1.2 整套自动进样器为国产自主化研发，九成以上零部件为国内加工；</w:t>
      </w:r>
      <w:r/>
    </w:p>
    <w:p>
      <w:pPr>
        <w:pStyle w:val="966"/>
        <w:rPr>
          <w:b/>
          <w:bCs/>
        </w:rPr>
      </w:pPr>
      <w:r>
        <w:rPr>
          <w:rFonts w:hint="eastAsia"/>
        </w:rPr>
        <w:t xml:space="preserve">▲2.17.1.3 采用符合国内习惯的全中文操作软件，软件中可实现各模块校准，调试以及运行等功能；孵化、老化等各模块功能可独立控制运行；可实现液体、顶空、SPME进样针自动换针；</w:t>
      </w:r>
      <w:r>
        <w:rPr>
          <w:rFonts w:hint="eastAsia"/>
          <w:lang w:val="en-US" w:eastAsia="zh-CN"/>
        </w:rPr>
        <w:t xml:space="preserve">液体进样模块</w:t>
      </w:r>
      <w:r>
        <w:rPr>
          <w:rFonts w:hint="eastAsia"/>
        </w:rPr>
        <w:t xml:space="preserve">具有快速原位清洗功能，缩短进样针清洗时间；</w:t>
      </w:r>
      <w:r>
        <w:rPr>
          <w:rFonts w:hint="eastAsia"/>
          <w:b/>
          <w:bCs/>
        </w:rPr>
        <w:t xml:space="preserve">（提供模块校准、调试功能软件截图</w:t>
      </w:r>
      <w:r>
        <w:rPr>
          <w:rFonts w:hint="eastAsia"/>
          <w:b/>
          <w:bCs/>
          <w:lang w:eastAsia="zh-CN"/>
        </w:rPr>
        <w:t xml:space="preserve">、</w:t>
      </w:r>
      <w:r>
        <w:rPr>
          <w:rFonts w:hint="eastAsia"/>
          <w:b/>
          <w:bCs/>
          <w:lang w:val="en-US" w:eastAsia="zh-CN"/>
        </w:rPr>
        <w:t xml:space="preserve">原厂彩页</w:t>
      </w:r>
      <w:r>
        <w:rPr>
          <w:rFonts w:hint="eastAsia"/>
          <w:b/>
          <w:bCs/>
        </w:rPr>
        <w:t xml:space="preserve">并加盖投标人公章）</w:t>
      </w:r>
      <w:r/>
    </w:p>
    <w:p>
      <w:pPr>
        <w:pStyle w:val="966"/>
      </w:pPr>
      <w:r>
        <w:rPr>
          <w:rFonts w:hint="eastAsia"/>
        </w:rPr>
        <w:t xml:space="preserve">2.17.1.4 序列运行过程中可增加/删除样品功能，可实现批量样品运行控制；</w:t>
      </w:r>
      <w:r/>
    </w:p>
    <w:p>
      <w:pPr>
        <w:pStyle w:val="966"/>
      </w:pPr>
      <w:r>
        <w:rPr>
          <w:rFonts w:hint="eastAsia"/>
        </w:rPr>
        <w:t xml:space="preserve">2.17.2.液体进样模块</w:t>
      </w:r>
      <w:r/>
    </w:p>
    <w:p>
      <w:pPr>
        <w:pStyle w:val="966"/>
      </w:pPr>
      <w:r>
        <w:rPr>
          <w:rFonts w:hint="eastAsia"/>
        </w:rPr>
        <w:t xml:space="preserve">2.17.2.1 2mL样品瓶容量：126位，可扩充至324位</w:t>
      </w:r>
      <w:r/>
    </w:p>
    <w:p>
      <w:pPr>
        <w:pStyle w:val="966"/>
      </w:pPr>
      <w:r>
        <w:rPr>
          <w:rFonts w:hint="eastAsia"/>
        </w:rPr>
        <w:t xml:space="preserve">2.17.2.2 液体进样针类型：标配10μL进样针</w:t>
      </w:r>
      <w:r/>
    </w:p>
    <w:p>
      <w:pPr>
        <w:pStyle w:val="966"/>
      </w:pPr>
      <w:r>
        <w:rPr>
          <w:rFonts w:hint="eastAsia"/>
        </w:rPr>
        <w:t xml:space="preserve">2.17.2.3 进样针清洗模块：同时兼容2ml标准瓶存放18位，4ml洗针7位，10mL/20mL洗针5位；</w:t>
      </w:r>
      <w:r/>
    </w:p>
    <w:p>
      <w:pPr>
        <w:pStyle w:val="966"/>
      </w:pPr>
      <w:r>
        <w:rPr>
          <w:rFonts w:hint="eastAsia"/>
        </w:rPr>
        <w:t xml:space="preserve">2.17.2.4 软件上可实现进样量、取样速度、进样速度、进样前/后的停滞时间、进样针进样前/后洗针次数、样品润针次数等值的设定</w:t>
      </w:r>
      <w:r/>
    </w:p>
    <w:p>
      <w:pPr>
        <w:pStyle w:val="966"/>
      </w:pPr>
      <w:r>
        <w:rPr>
          <w:rFonts w:hint="eastAsia"/>
        </w:rPr>
        <w:t xml:space="preserve">2.17.3.顶空进样模块</w:t>
      </w:r>
      <w:r/>
    </w:p>
    <w:p>
      <w:pPr>
        <w:pStyle w:val="966"/>
      </w:pPr>
      <w:r>
        <w:rPr>
          <w:rFonts w:hint="eastAsia"/>
        </w:rPr>
        <w:t xml:space="preserve">2.17.3.1 采用顶空气密针进样方式进样，消除了定量管与传输线的死体积和吸附效应</w:t>
      </w:r>
      <w:r/>
    </w:p>
    <w:p>
      <w:pPr>
        <w:pStyle w:val="966"/>
      </w:pPr>
      <w:r>
        <w:rPr>
          <w:rFonts w:hint="eastAsia"/>
        </w:rPr>
        <w:t xml:space="preserve">2.17.3.2 气密针清洗方式：采用惰性气体自动吹扫清洗方式</w:t>
      </w:r>
      <w:r/>
    </w:p>
    <w:p>
      <w:pPr>
        <w:pStyle w:val="966"/>
      </w:pPr>
      <w:r>
        <w:rPr>
          <w:rFonts w:hint="eastAsia"/>
        </w:rPr>
        <w:t xml:space="preserve">2.17.3.3 气密针规格：1.0~5.0mL可选</w:t>
      </w:r>
      <w:r/>
    </w:p>
    <w:p>
      <w:pPr>
        <w:pStyle w:val="966"/>
      </w:pPr>
      <w:r>
        <w:rPr>
          <w:rFonts w:hint="eastAsia"/>
        </w:rPr>
        <w:t xml:space="preserve">2.17.3.4 10mL/20mL样品瓶容量≥45位，可扩充至180位以上；</w:t>
      </w:r>
      <w:r/>
    </w:p>
    <w:p>
      <w:pPr>
        <w:pStyle w:val="966"/>
      </w:pPr>
      <w:r>
        <w:rPr>
          <w:rFonts w:hint="eastAsia"/>
        </w:rPr>
        <w:t xml:space="preserve">2.17.3.5 气密针加热温度：30~150℃，±0.1℃增量可调； </w:t>
      </w:r>
      <w:r/>
    </w:p>
    <w:p>
      <w:pPr>
        <w:pStyle w:val="966"/>
      </w:pPr>
      <w:r>
        <w:rPr>
          <w:rFonts w:hint="eastAsia"/>
        </w:rPr>
        <w:t xml:space="preserve">2.17.3.6 孵化加热器： 6个样品瓶加热位，加热温度：30℃~200℃，±0.1℃增量可调；振荡速率：250rpm~750rpm，±1rpm增量可调。2.17.4.固相微萃取模块</w:t>
      </w:r>
      <w:r/>
    </w:p>
    <w:p>
      <w:pPr>
        <w:pStyle w:val="966"/>
        <w:rPr>
          <w:b/>
          <w:bCs/>
        </w:rPr>
      </w:pPr>
      <w:r>
        <w:rPr>
          <w:rFonts w:hint="eastAsia"/>
        </w:rPr>
        <w:t xml:space="preserve">▲2.17.4.1 萃取模块采用涡旋加热振荡方式，无需磁力搅拌子；萃取深度可调，可实现顶空萃取和浸没式萃取两种方式；可兼容箭型萃取头和纤维萃取头两种萃取方式；配置萃取头老化模块，老化温度30℃-350℃可调；</w:t>
      </w:r>
      <w:r>
        <w:rPr>
          <w:rFonts w:hint="eastAsia"/>
          <w:b/>
          <w:bCs/>
        </w:rPr>
        <w:t xml:space="preserve">（提供两种萃取头实物照片</w:t>
      </w:r>
      <w:r>
        <w:rPr>
          <w:rFonts w:hint="eastAsia"/>
          <w:b/>
          <w:bCs/>
          <w:lang w:val="en-US" w:eastAsia="zh-CN"/>
        </w:rPr>
        <w:t xml:space="preserve">、</w:t>
      </w:r>
      <w:r>
        <w:rPr>
          <w:rFonts w:hint="eastAsia"/>
          <w:b/>
          <w:bCs/>
        </w:rPr>
        <w:t xml:space="preserve">萃取头老化模块实物照片及老化温度软件截图</w:t>
      </w:r>
      <w:r>
        <w:rPr>
          <w:rFonts w:hint="eastAsia"/>
          <w:b/>
          <w:bCs/>
          <w:lang w:eastAsia="zh-CN"/>
        </w:rPr>
        <w:t xml:space="preserve">、</w:t>
      </w:r>
      <w:r>
        <w:rPr>
          <w:rFonts w:hint="eastAsia"/>
          <w:b/>
          <w:bCs/>
          <w:lang w:val="en-US" w:eastAsia="zh-CN"/>
        </w:rPr>
        <w:t xml:space="preserve">原厂彩页</w:t>
      </w:r>
      <w:r>
        <w:rPr>
          <w:rFonts w:hint="eastAsia"/>
          <w:b/>
          <w:bCs/>
        </w:rPr>
        <w:t xml:space="preserve">并加盖投标人公章）</w:t>
      </w:r>
      <w:r/>
    </w:p>
    <w:p>
      <w:pPr>
        <w:pStyle w:val="966"/>
      </w:pPr>
      <w:r>
        <w:rPr>
          <w:rFonts w:hint="eastAsia"/>
        </w:rPr>
        <w:t xml:space="preserve">2.17.4.2 萃取温度30℃-200℃，±0.1℃ 增量可调；振荡速率0rpm-1600rpm，±1rpm增量可调；</w:t>
      </w:r>
      <w:r/>
    </w:p>
    <w:p>
      <w:pPr>
        <w:pStyle w:val="966"/>
      </w:pPr>
      <w:r>
        <w:rPr>
          <w:rFonts w:hint="eastAsia"/>
        </w:rPr>
        <w:t xml:space="preserve">2.17.4.3 萃取时间范围：999min，0.1min增量；</w:t>
      </w:r>
      <w:r/>
    </w:p>
    <w:p>
      <w:pPr>
        <w:pStyle w:val="966"/>
      </w:pPr>
      <w:r>
        <w:rPr>
          <w:rFonts w:hint="eastAsia"/>
        </w:rPr>
        <w:t xml:space="preserve">2.17.5.产品配置</w:t>
      </w:r>
      <w:r/>
    </w:p>
    <w:p>
      <w:pPr>
        <w:pStyle w:val="966"/>
      </w:pPr>
      <w:r>
        <w:rPr>
          <w:rFonts w:hint="eastAsia"/>
        </w:rPr>
        <w:t xml:space="preserve">2.17.5.1 主机模块（含自动换针功能）   1套</w:t>
      </w:r>
      <w:r/>
    </w:p>
    <w:p>
      <w:pPr>
        <w:pStyle w:val="966"/>
      </w:pPr>
      <w:r>
        <w:rPr>
          <w:rFonts w:hint="eastAsia"/>
        </w:rPr>
        <w:t xml:space="preserve">2.17.5.2 液体进样模块   1个</w:t>
      </w:r>
      <w:r/>
    </w:p>
    <w:p>
      <w:pPr>
        <w:pStyle w:val="966"/>
      </w:pPr>
      <w:r>
        <w:rPr>
          <w:rFonts w:hint="eastAsia"/>
        </w:rPr>
        <w:t xml:space="preserve">2.17.5.3 顶空进样模块   1个</w:t>
      </w:r>
      <w:r/>
    </w:p>
    <w:p>
      <w:pPr>
        <w:pStyle w:val="966"/>
      </w:pPr>
      <w:r>
        <w:rPr>
          <w:rFonts w:hint="eastAsia"/>
        </w:rPr>
        <w:t xml:space="preserve">2.17.5.4 固相微萃取进样模块   1个</w:t>
      </w:r>
      <w:r/>
    </w:p>
    <w:p>
      <w:pPr>
        <w:pStyle w:val="966"/>
      </w:pPr>
      <w:r>
        <w:rPr>
          <w:rFonts w:hint="eastAsia"/>
        </w:rPr>
        <w:t xml:space="preserve">2.17.5.5 振荡孵化模块   1个</w:t>
      </w:r>
      <w:r/>
    </w:p>
    <w:p>
      <w:pPr>
        <w:pStyle w:val="966"/>
      </w:pPr>
      <w:r>
        <w:rPr>
          <w:rFonts w:hint="eastAsia"/>
        </w:rPr>
        <w:t xml:space="preserve">2.17.5.6 加热萃取模块   1个</w:t>
      </w:r>
      <w:r/>
    </w:p>
    <w:p>
      <w:pPr>
        <w:pStyle w:val="966"/>
      </w:pPr>
      <w:r>
        <w:rPr>
          <w:rFonts w:hint="eastAsia"/>
        </w:rPr>
        <w:t xml:space="preserve">2.17.5.7 老化模块   1个</w:t>
      </w:r>
      <w:r/>
    </w:p>
    <w:p>
      <w:pPr>
        <w:pStyle w:val="966"/>
      </w:pPr>
      <w:r>
        <w:rPr>
          <w:rFonts w:hint="eastAsia"/>
        </w:rPr>
        <w:t xml:space="preserve">2.17.5.8 系统控制软件  1份</w:t>
      </w:r>
      <w:r/>
    </w:p>
    <w:p>
      <w:pPr>
        <w:pStyle w:val="966"/>
      </w:pPr>
      <w:r/>
      <w:r/>
    </w:p>
    <w:p>
      <w:pPr>
        <w:ind w:firstLine="562"/>
        <w:jc w:val="left"/>
        <w:spacing w:line="360" w:lineRule="auto"/>
        <w:rPr>
          <w:rFonts w:ascii="宋体" w:hAnsi="宋体" w:cs="Times New Roman"/>
          <w:b/>
          <w:bCs w:val="0"/>
          <w:i/>
          <w:iCs/>
          <w:sz w:val="24"/>
          <w:szCs w:val="24"/>
          <w:u w:val="single"/>
        </w:rPr>
        <w:outlineLvl w:val="1"/>
      </w:pPr>
      <w:r>
        <w:rPr>
          <w:rFonts w:hint="eastAsia" w:ascii="Times New Roman" w:hAnsi="Times New Roman" w:cs="Times New Roman"/>
          <w:b/>
          <w:bCs w:val="0"/>
          <w:i/>
          <w:iCs/>
          <w:sz w:val="28"/>
          <w:szCs w:val="28"/>
          <w:u w:val="single"/>
          <w:lang w:val="en-US" w:eastAsia="zh-CN"/>
        </w:rPr>
        <w:t xml:space="preserve">四</w:t>
      </w:r>
      <w:r>
        <w:rPr>
          <w:rFonts w:ascii="Times New Roman" w:hAnsi="Times New Roman" w:cs="Times New Roman"/>
          <w:b/>
          <w:bCs w:val="0"/>
          <w:i/>
          <w:iCs/>
          <w:sz w:val="28"/>
          <w:szCs w:val="28"/>
          <w:u w:val="single"/>
        </w:rPr>
        <w:t xml:space="preserve">、供货要求</w:t>
      </w:r>
      <w:r/>
    </w:p>
    <w:p>
      <w:pPr>
        <w:ind w:firstLine="480"/>
        <w:jc w:val="both"/>
        <w:spacing w:line="360" w:lineRule="auto"/>
        <w:rPr>
          <w:rFonts w:hint="eastAsia" w:asciiTheme="minorEastAsia" w:hAnsiTheme="minorEastAsia" w:eastAsiaTheme="minorEastAsia" w:cstheme="minorEastAsia"/>
          <w:i/>
          <w:iCs/>
          <w:sz w:val="24"/>
          <w:szCs w:val="24"/>
          <w:u w:val="single"/>
        </w:rPr>
      </w:pPr>
      <w:r>
        <w:rPr>
          <w:rFonts w:hint="eastAsia" w:asciiTheme="minorEastAsia" w:hAnsiTheme="minorEastAsia" w:eastAsiaTheme="minorEastAsia" w:cstheme="minorEastAsia"/>
          <w:i/>
          <w:iCs/>
          <w:sz w:val="24"/>
          <w:szCs w:val="24"/>
          <w:u w:val="single"/>
        </w:rPr>
        <w:t xml:space="preserve">交货方式：采购人指定方式。</w:t>
      </w:r>
      <w:r/>
    </w:p>
    <w:p>
      <w:pPr>
        <w:ind w:firstLine="480"/>
        <w:jc w:val="both"/>
        <w:spacing w:line="360" w:lineRule="auto"/>
        <w:rPr>
          <w:rFonts w:hint="eastAsia" w:asciiTheme="minorEastAsia" w:hAnsiTheme="minorEastAsia" w:eastAsiaTheme="minorEastAsia" w:cstheme="minorEastAsia"/>
          <w:i/>
          <w:iCs/>
          <w:sz w:val="24"/>
          <w:szCs w:val="24"/>
          <w:u w:val="single"/>
        </w:rPr>
      </w:pPr>
      <w:r>
        <w:rPr>
          <w:rFonts w:hint="eastAsia" w:asciiTheme="minorEastAsia" w:hAnsiTheme="minorEastAsia" w:eastAsiaTheme="minorEastAsia" w:cstheme="minorEastAsia"/>
          <w:i/>
          <w:iCs/>
          <w:sz w:val="24"/>
          <w:szCs w:val="24"/>
          <w:u w:val="single"/>
        </w:rPr>
        <w:t xml:space="preserve">交付时间：自合同签订之日起90日历天内完成供货并通过验收、交付使用。</w:t>
      </w:r>
      <w:r/>
    </w:p>
    <w:p>
      <w:pPr>
        <w:ind w:firstLine="480"/>
        <w:jc w:val="both"/>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交货地点：采购人指定地点。</w:t>
      </w:r>
      <w:r/>
    </w:p>
    <w:p>
      <w:pPr>
        <w:ind w:firstLine="480"/>
        <w:jc w:val="both"/>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质量要求：中标人提供的货物（含配件）应是全新的、未使用过的原装合格正品，并保证所提供货物的开箱合格率为100%，外观和内在质量都不得有任何问题。设备型号、规格、数量、外观质量、及货物包装是否完好等在各个方面必须符合采购文件规定的要求。</w:t>
      </w:r>
      <w:r/>
    </w:p>
    <w:p>
      <w:pPr>
        <w:ind w:firstLine="480"/>
        <w:jc w:val="both"/>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安全要求：</w:t>
      </w:r>
      <w:r/>
    </w:p>
    <w:p>
      <w:pPr>
        <w:ind w:firstLine="480"/>
        <w:jc w:val="both"/>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1.</w:t>
      </w:r>
      <w:r>
        <w:rPr>
          <w:rFonts w:hint="eastAsia" w:asciiTheme="minorEastAsia" w:hAnsiTheme="minorEastAsia" w:eastAsiaTheme="minorEastAsia" w:cstheme="minorEastAsia"/>
          <w:sz w:val="24"/>
          <w:szCs w:val="24"/>
        </w:rPr>
        <w:t xml:space="preserve">由于产品质量问题导致使用者产生的一切人身安全事故由中标人负全责。</w:t>
      </w:r>
      <w:r/>
    </w:p>
    <w:p>
      <w:pPr>
        <w:ind w:firstLine="480"/>
        <w:jc w:val="both"/>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rPr>
        <w:t xml:space="preserve">中标人对（除采购人原因之外）所有的运输、安装、施工、人员等项目实施过程的安全负全责。</w:t>
      </w:r>
      <w:r/>
    </w:p>
    <w:p>
      <w:pPr>
        <w:ind w:firstLine="562"/>
        <w:jc w:val="left"/>
        <w:spacing w:line="360" w:lineRule="auto"/>
        <w:rPr>
          <w:rFonts w:hint="eastAsia" w:ascii="Times New Roman" w:hAnsi="Times New Roman" w:cs="Times New Roman"/>
          <w:b/>
          <w:i/>
          <w:iCs/>
          <w:sz w:val="28"/>
          <w:szCs w:val="28"/>
          <w:u w:val="single"/>
          <w:lang w:val="en-US" w:eastAsia="zh-CN"/>
        </w:rPr>
        <w:outlineLvl w:val="1"/>
      </w:pPr>
      <w:r>
        <w:rPr>
          <w:rFonts w:hint="eastAsia" w:ascii="Times New Roman" w:hAnsi="Times New Roman" w:cs="Times New Roman"/>
          <w:b/>
          <w:i/>
          <w:iCs/>
          <w:sz w:val="28"/>
          <w:szCs w:val="28"/>
          <w:u w:val="single"/>
          <w:lang w:val="en-US" w:eastAsia="zh-CN"/>
        </w:rPr>
        <w:t xml:space="preserve">五、质保期</w:t>
      </w:r>
      <w:r/>
    </w:p>
    <w:p>
      <w:pPr>
        <w:ind w:firstLine="480"/>
        <w:jc w:val="both"/>
        <w:spacing w:line="360" w:lineRule="auto"/>
        <w:rPr>
          <w:rFonts w:hint="eastAsia" w:ascii="宋体" w:hAnsi="宋体" w:eastAsia="宋体" w:cs="宋体"/>
          <w:i/>
          <w:iCs/>
          <w:sz w:val="24"/>
          <w:szCs w:val="24"/>
          <w:u w:val="single"/>
        </w:rPr>
      </w:pPr>
      <w:r>
        <w:rPr>
          <w:rFonts w:hint="eastAsia" w:ascii="宋体" w:hAnsi="宋体" w:cs="宋体"/>
          <w:i/>
          <w:iCs/>
          <w:sz w:val="24"/>
          <w:szCs w:val="24"/>
          <w:u w:val="single"/>
          <w:lang w:val="en-US" w:eastAsia="zh-CN"/>
        </w:rPr>
        <w:t xml:space="preserve">1.</w:t>
      </w:r>
      <w:r>
        <w:rPr>
          <w:rFonts w:hint="eastAsia" w:ascii="宋体" w:hAnsi="宋体" w:eastAsia="宋体" w:cs="宋体"/>
          <w:i/>
          <w:iCs/>
          <w:sz w:val="24"/>
          <w:szCs w:val="24"/>
          <w:u w:val="single"/>
        </w:rPr>
        <w:t xml:space="preserve">质保期自设备验收合格之日起，为期1年。</w:t>
      </w:r>
      <w:r/>
    </w:p>
    <w:p>
      <w:pPr>
        <w:ind w:firstLine="480"/>
        <w:spacing w:line="360" w:lineRule="auto"/>
        <w:widowControl/>
        <w:rPr>
          <w:rFonts w:hint="eastAsia" w:ascii="宋体" w:hAnsi="宋体" w:eastAsia="宋体" w:cs="宋体"/>
          <w:i/>
          <w:iCs/>
          <w:sz w:val="24"/>
          <w:szCs w:val="24"/>
          <w:u w:val="single"/>
        </w:rPr>
      </w:pPr>
      <w:r>
        <w:rPr>
          <w:rFonts w:hint="eastAsia" w:ascii="宋体" w:hAnsi="宋体" w:cs="宋体"/>
          <w:i/>
          <w:iCs/>
          <w:sz w:val="24"/>
          <w:szCs w:val="24"/>
          <w:u w:val="single"/>
          <w:lang w:val="en-US" w:eastAsia="zh-CN" w:bidi="ar"/>
        </w:rPr>
        <w:t xml:space="preserve">2.</w:t>
      </w:r>
      <w:r>
        <w:rPr>
          <w:rFonts w:hint="eastAsia" w:ascii="宋体" w:hAnsi="宋体" w:eastAsia="宋体" w:cs="宋体"/>
          <w:i/>
          <w:iCs/>
          <w:sz w:val="24"/>
          <w:szCs w:val="24"/>
          <w:u w:val="single"/>
          <w:lang w:bidi="ar"/>
        </w:rPr>
        <w:t xml:space="preserve">提供的货物在质保期内因货物本身出现质量问题，根据实际情况，经双方协商，可按以下办法处理： ①更换：成交由供应商承担所发生的全部费用。 ②退货处理：无条件退货，并退还招标人支付的合同款，同时应承担该货物的直接费用（运输、保险、检验、贷款利息及银行手续费等）。招标人不承担发生的任何费用。 </w:t>
      </w:r>
      <w:r/>
    </w:p>
    <w:p>
      <w:pPr>
        <w:ind w:firstLine="480"/>
        <w:spacing w:line="360" w:lineRule="auto"/>
        <w:widowControl/>
        <w:rPr>
          <w:rFonts w:hint="eastAsia" w:ascii="宋体" w:hAnsi="宋体" w:eastAsia="宋体" w:cs="宋体"/>
          <w:i/>
          <w:iCs/>
          <w:sz w:val="24"/>
          <w:szCs w:val="24"/>
          <w:u w:val="single"/>
        </w:rPr>
      </w:pPr>
      <w:r>
        <w:rPr>
          <w:rFonts w:hint="eastAsia" w:ascii="宋体" w:hAnsi="宋体" w:cs="宋体"/>
          <w:i/>
          <w:iCs/>
          <w:sz w:val="24"/>
          <w:szCs w:val="24"/>
          <w:u w:val="single"/>
          <w:lang w:val="en-US" w:eastAsia="zh-CN" w:bidi="ar"/>
        </w:rPr>
        <w:t xml:space="preserve">3.</w:t>
      </w:r>
      <w:r>
        <w:rPr>
          <w:rFonts w:hint="eastAsia" w:ascii="宋体" w:hAnsi="宋体" w:eastAsia="宋体" w:cs="宋体"/>
          <w:i/>
          <w:iCs/>
          <w:sz w:val="24"/>
          <w:szCs w:val="24"/>
          <w:u w:val="single"/>
          <w:lang w:bidi="ar"/>
        </w:rPr>
        <w:t xml:space="preserve">质保期间，成交供应商承担维修、安检、调换等，相关费用包含在投标报价内，采购方不再支付任何费用。</w:t>
      </w:r>
      <w:r/>
    </w:p>
    <w:p>
      <w:pPr>
        <w:ind w:firstLine="480"/>
        <w:spacing w:line="360" w:lineRule="auto"/>
        <w:widowControl/>
        <w:rPr>
          <w:rFonts w:hint="eastAsia" w:ascii="宋体" w:hAnsi="宋体" w:eastAsia="宋体" w:cs="宋体"/>
          <w:sz w:val="24"/>
          <w:szCs w:val="24"/>
          <w:lang w:val="en-US" w:eastAsia="zh-CN"/>
        </w:rPr>
      </w:pPr>
      <w:r>
        <w:rPr>
          <w:rFonts w:hint="eastAsia" w:ascii="宋体" w:hAnsi="宋体" w:cs="宋体"/>
          <w:i/>
          <w:iCs/>
          <w:sz w:val="24"/>
          <w:szCs w:val="24"/>
          <w:u w:val="single"/>
          <w:lang w:val="en-US" w:eastAsia="zh-CN" w:bidi="ar"/>
        </w:rPr>
        <w:t xml:space="preserve">4.</w:t>
      </w:r>
      <w:r>
        <w:rPr>
          <w:rFonts w:hint="eastAsia" w:ascii="宋体" w:hAnsi="宋体" w:eastAsia="宋体" w:cs="宋体"/>
          <w:i/>
          <w:iCs/>
          <w:sz w:val="24"/>
          <w:szCs w:val="24"/>
          <w:u w:val="single"/>
          <w:lang w:bidi="ar"/>
        </w:rPr>
        <w:t xml:space="preserve">在质保期内，供应商应对货物出现的质量及安全问题负责处理解决并承担一切费用。</w:t>
      </w:r>
      <w:r>
        <w:rPr>
          <w:rFonts w:hint="eastAsia" w:ascii="宋体" w:hAnsi="宋体" w:eastAsia="宋体" w:cs="宋体"/>
          <w:i w:val="0"/>
          <w:iCs w:val="0"/>
          <w:sz w:val="24"/>
          <w:szCs w:val="24"/>
          <w:u w:val="none"/>
          <w:lang w:bidi="ar"/>
        </w:rPr>
        <w:t xml:space="preserve"> </w:t>
      </w:r>
      <w:r/>
    </w:p>
    <w:p>
      <w:pPr>
        <w:ind w:firstLine="562"/>
        <w:jc w:val="left"/>
        <w:spacing w:line="360" w:lineRule="auto"/>
        <w:rPr>
          <w:rFonts w:ascii="Times New Roman" w:hAnsi="Times New Roman" w:cs="Times New Roman"/>
          <w:b/>
          <w:i/>
          <w:iCs/>
          <w:sz w:val="28"/>
          <w:szCs w:val="28"/>
          <w:u w:val="single"/>
        </w:rPr>
        <w:outlineLvl w:val="1"/>
      </w:pPr>
      <w:r>
        <w:rPr>
          <w:rFonts w:hint="eastAsia" w:ascii="Times New Roman" w:hAnsi="Times New Roman" w:cs="Times New Roman"/>
          <w:b/>
          <w:i/>
          <w:iCs/>
          <w:sz w:val="28"/>
          <w:szCs w:val="28"/>
          <w:u w:val="single"/>
          <w:lang w:val="en-US" w:eastAsia="zh-CN"/>
        </w:rPr>
        <w:t xml:space="preserve">六</w:t>
      </w:r>
      <w:r>
        <w:rPr>
          <w:rFonts w:ascii="Times New Roman" w:hAnsi="Times New Roman" w:cs="Times New Roman"/>
          <w:b/>
          <w:i/>
          <w:iCs/>
          <w:sz w:val="28"/>
          <w:szCs w:val="28"/>
          <w:u w:val="single"/>
        </w:rPr>
        <w:t xml:space="preserve">、安装调试要求</w:t>
      </w:r>
      <w:r/>
    </w:p>
    <w:p>
      <w:pPr>
        <w:ind w:firstLine="482"/>
        <w:spacing w:line="360" w:lineRule="auto"/>
        <w:rPr>
          <w:rFonts w:hint="eastAsia" w:asciiTheme="minorEastAsia" w:hAnsiTheme="minorEastAsia" w:eastAsiaTheme="minorEastAsia" w:cstheme="minorEastAsia"/>
          <w:i/>
          <w:iCs/>
          <w:sz w:val="24"/>
          <w:szCs w:val="24"/>
          <w:u w:val="single"/>
        </w:rPr>
      </w:pPr>
      <w:r>
        <w:rPr>
          <w:rFonts w:hint="eastAsia" w:asciiTheme="minorEastAsia" w:hAnsiTheme="minorEastAsia" w:eastAsiaTheme="minorEastAsia" w:cstheme="minorEastAsia"/>
          <w:i/>
          <w:iCs/>
          <w:sz w:val="24"/>
          <w:szCs w:val="24"/>
          <w:u w:val="single"/>
          <w:lang w:val="en-US" w:eastAsia="zh-CN"/>
        </w:rPr>
        <w:t xml:space="preserve">1.</w:t>
      </w:r>
      <w:r>
        <w:rPr>
          <w:rFonts w:hint="eastAsia" w:asciiTheme="minorEastAsia" w:hAnsiTheme="minorEastAsia" w:eastAsiaTheme="minorEastAsia" w:cstheme="minorEastAsia"/>
          <w:i/>
          <w:iCs/>
          <w:sz w:val="24"/>
          <w:szCs w:val="24"/>
          <w:u w:val="single"/>
        </w:rPr>
        <w:t xml:space="preserve">货物（含配件）应是全新、未使用过的原装合格正品，并保证所提供货物的开箱合格率为100%，外观和内在质量如有损坏,采购人有权提出退换货。</w:t>
      </w:r>
      <w:r/>
    </w:p>
    <w:p>
      <w:pPr>
        <w:ind w:firstLine="482"/>
        <w:spacing w:line="360" w:lineRule="auto"/>
        <w:rPr>
          <w:rFonts w:hint="eastAsia" w:asciiTheme="minorEastAsia" w:hAnsiTheme="minorEastAsia" w:eastAsiaTheme="minorEastAsia" w:cstheme="minorEastAsia"/>
          <w:i/>
          <w:iCs/>
          <w:sz w:val="24"/>
          <w:szCs w:val="24"/>
          <w:u w:val="single"/>
        </w:rPr>
      </w:pPr>
      <w:r>
        <w:rPr>
          <w:rFonts w:hint="eastAsia" w:asciiTheme="minorEastAsia" w:hAnsiTheme="minorEastAsia" w:eastAsiaTheme="minorEastAsia" w:cstheme="minorEastAsia"/>
          <w:i/>
          <w:iCs/>
          <w:sz w:val="24"/>
          <w:szCs w:val="24"/>
          <w:u w:val="single"/>
          <w:lang w:val="en-US" w:eastAsia="zh-CN"/>
        </w:rPr>
        <w:t xml:space="preserve">2.</w:t>
      </w:r>
      <w:r>
        <w:rPr>
          <w:rFonts w:hint="eastAsia" w:asciiTheme="minorEastAsia" w:hAnsiTheme="minorEastAsia" w:eastAsiaTheme="minorEastAsia" w:cstheme="minorEastAsia"/>
          <w:i/>
          <w:iCs/>
          <w:sz w:val="24"/>
          <w:szCs w:val="24"/>
          <w:u w:val="single"/>
        </w:rPr>
        <w:t xml:space="preserve">产品及主要部件均须非停产设备，并提供备件、附件和耗材的供应。</w:t>
      </w:r>
      <w:r/>
    </w:p>
    <w:p>
      <w:pPr>
        <w:ind w:firstLine="482"/>
        <w:spacing w:line="360" w:lineRule="auto"/>
        <w:rPr>
          <w:rFonts w:hint="eastAsia" w:asciiTheme="minorEastAsia" w:hAnsiTheme="minorEastAsia" w:eastAsiaTheme="minorEastAsia" w:cstheme="minorEastAsia"/>
          <w:i/>
          <w:iCs/>
          <w:sz w:val="24"/>
          <w:szCs w:val="24"/>
          <w:u w:val="single"/>
        </w:rPr>
      </w:pPr>
      <w:r>
        <w:rPr>
          <w:rFonts w:hint="eastAsia" w:asciiTheme="minorEastAsia" w:hAnsiTheme="minorEastAsia" w:eastAsiaTheme="minorEastAsia" w:cstheme="minorEastAsia"/>
          <w:i/>
          <w:iCs/>
          <w:sz w:val="24"/>
          <w:szCs w:val="24"/>
          <w:u w:val="single"/>
          <w:lang w:val="en-US" w:eastAsia="zh-CN"/>
        </w:rPr>
        <w:t xml:space="preserve">3.</w:t>
      </w:r>
      <w:r>
        <w:rPr>
          <w:rFonts w:hint="eastAsia" w:asciiTheme="minorEastAsia" w:hAnsiTheme="minorEastAsia" w:eastAsiaTheme="minorEastAsia" w:cstheme="minorEastAsia"/>
          <w:i/>
          <w:iCs/>
          <w:sz w:val="24"/>
          <w:szCs w:val="24"/>
          <w:u w:val="single"/>
        </w:rPr>
        <w:t xml:space="preserve">产品及主要部件必须为成熟的产品，须充分考虑产品的使用者和使用环境。</w:t>
      </w:r>
      <w:r/>
    </w:p>
    <w:p>
      <w:pPr>
        <w:ind w:firstLine="482"/>
        <w:spacing w:line="360" w:lineRule="auto"/>
        <w:rPr>
          <w:rFonts w:hint="eastAsia" w:asciiTheme="minorEastAsia" w:hAnsiTheme="minorEastAsia" w:eastAsiaTheme="minorEastAsia" w:cstheme="minorEastAsia"/>
          <w:i/>
          <w:iCs/>
          <w:sz w:val="24"/>
          <w:szCs w:val="24"/>
          <w:u w:val="single"/>
        </w:rPr>
      </w:pPr>
      <w:r>
        <w:rPr>
          <w:rFonts w:hint="eastAsia" w:asciiTheme="minorEastAsia" w:hAnsiTheme="minorEastAsia" w:eastAsiaTheme="minorEastAsia" w:cstheme="minorEastAsia"/>
          <w:i/>
          <w:iCs/>
          <w:sz w:val="24"/>
          <w:szCs w:val="24"/>
          <w:u w:val="single"/>
          <w:lang w:val="en-US" w:eastAsia="zh-CN"/>
        </w:rPr>
        <w:t xml:space="preserve">4.</w:t>
      </w:r>
      <w:r>
        <w:rPr>
          <w:rFonts w:hint="eastAsia" w:asciiTheme="minorEastAsia" w:hAnsiTheme="minorEastAsia" w:eastAsiaTheme="minorEastAsia" w:cstheme="minorEastAsia"/>
          <w:i/>
          <w:iCs/>
          <w:sz w:val="24"/>
          <w:szCs w:val="24"/>
          <w:u w:val="single"/>
        </w:rPr>
        <w:t xml:space="preserve">签订合同前须向采购人提供详细材料一览表（各主要部分用料、规格及厚度、产地证明等），包括产品说明书或产品主要技术资料和性能的详细描述等，</w:t>
      </w:r>
      <w:r>
        <w:rPr>
          <w:rFonts w:hint="eastAsia" w:asciiTheme="minorEastAsia" w:hAnsiTheme="minorEastAsia" w:eastAsiaTheme="minorEastAsia" w:cstheme="minorEastAsia"/>
          <w:b/>
          <w:bCs/>
          <w:i/>
          <w:iCs/>
          <w:sz w:val="24"/>
          <w:szCs w:val="24"/>
          <w:u w:val="single"/>
        </w:rPr>
        <w:t xml:space="preserve">并提供本项目需求中所要求的检测报告等相关证明材料原件给采购人现场核验，如上述资料及证明文件与中标人投标响应文件不符或存在弄虚作假行为，采购人有权终止中标成交资格，因此造成的所有损失均由中标人自行承担。</w:t>
      </w:r>
      <w:r/>
    </w:p>
    <w:p>
      <w:pPr>
        <w:ind w:firstLine="482"/>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5.</w:t>
      </w:r>
      <w:r>
        <w:rPr>
          <w:rFonts w:hint="eastAsia" w:asciiTheme="minorEastAsia" w:hAnsiTheme="minorEastAsia" w:eastAsiaTheme="minorEastAsia" w:cstheme="minorEastAsia"/>
          <w:sz w:val="24"/>
          <w:szCs w:val="24"/>
        </w:rPr>
        <w:t xml:space="preserve">采购人使用货物的任何一部分，当受第三方提出的侵犯其专利权、商标权或工业设计权的投诉时，一切后果由中标人负责。</w:t>
      </w:r>
      <w:r/>
    </w:p>
    <w:p>
      <w:pPr>
        <w:ind w:firstLine="482"/>
        <w:spacing w:line="360" w:lineRule="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6.</w:t>
      </w:r>
      <w:r>
        <w:rPr>
          <w:rFonts w:hint="eastAsia" w:asciiTheme="minorEastAsia" w:hAnsiTheme="minorEastAsia" w:eastAsiaTheme="minorEastAsia" w:cstheme="minorEastAsia"/>
          <w:sz w:val="24"/>
          <w:szCs w:val="24"/>
        </w:rPr>
        <w:t xml:space="preserve">中标人必须严格按采购人指定的位置安装，未经采购人同意不得更改安装位置。所有设备均须由中标人送货上门，并由相关有经验的工程师负责安装调试等服务，协助采购人组织验收，并承担相关费用。安装期间出现的各种事故造成的损失及人员伤亡均由中标人负责。</w:t>
      </w:r>
      <w:r/>
    </w:p>
    <w:p>
      <w:pPr>
        <w:ind w:firstLine="562"/>
        <w:jc w:val="left"/>
        <w:spacing w:line="360" w:lineRule="auto"/>
        <w:rPr>
          <w:rFonts w:ascii="Times New Roman" w:hAnsi="Times New Roman" w:cs="Times New Roman"/>
          <w:b/>
          <w:sz w:val="28"/>
          <w:szCs w:val="28"/>
        </w:rPr>
        <w:outlineLvl w:val="1"/>
      </w:pPr>
      <w:r>
        <w:rPr>
          <w:rFonts w:hint="eastAsia" w:ascii="Times New Roman" w:hAnsi="Times New Roman" w:cs="Times New Roman"/>
          <w:b/>
          <w:sz w:val="28"/>
          <w:szCs w:val="28"/>
          <w:lang w:val="en-US" w:eastAsia="zh-CN"/>
        </w:rPr>
        <w:t xml:space="preserve">七</w:t>
      </w:r>
      <w:r>
        <w:rPr>
          <w:rFonts w:hint="eastAsia" w:ascii="Times New Roman" w:hAnsi="Times New Roman" w:cs="Times New Roman"/>
          <w:b/>
          <w:sz w:val="28"/>
          <w:szCs w:val="28"/>
        </w:rPr>
        <w:t xml:space="preserve">、国家或行业相关规范标准</w:t>
      </w:r>
      <w:r/>
    </w:p>
    <w:p>
      <w:pPr>
        <w:ind w:firstLine="482"/>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《水质 总磷的测定 钼酸铵分光光度法》（GB 11893）</w:t>
      </w:r>
      <w:r/>
    </w:p>
    <w:p>
      <w:pPr>
        <w:ind w:firstLine="482"/>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《水质 总氮的测定 碱性过硫酸钾消解紫外分光光度法》（HJ 636）</w:t>
      </w:r>
      <w:r/>
    </w:p>
    <w:p>
      <w:pPr>
        <w:ind w:firstLine="482"/>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《国家地表水环境质量监测网监测任务作业指导书》</w:t>
      </w:r>
      <w:r/>
    </w:p>
    <w:p>
      <w:pPr>
        <w:ind w:firstLine="482"/>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《水质 高锰酸盐指数的测定 草酸钠还原酸性滴定法》（HJ 1445-2026）</w:t>
      </w:r>
      <w:r/>
    </w:p>
    <w:p>
      <w:pPr>
        <w:ind w:firstLine="482"/>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《水质 高锰酸盐指数的测定 草酸钠还原碱性滴定法》（HJ 1446-2026）</w:t>
      </w:r>
      <w:r/>
    </w:p>
    <w:p>
      <w:pPr>
        <w:ind w:firstLine="482"/>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《生活饮用水标准检验方法 有机物综合指标》（GB/T 5750.7）</w:t>
      </w:r>
      <w:r/>
    </w:p>
    <w:p>
      <w:pPr>
        <w:ind w:firstLine="482"/>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《水质 化学需氧量的测定 重铬酸盐法》（HJ828-2017）</w:t>
      </w:r>
      <w:r/>
    </w:p>
    <w:p>
      <w:pPr>
        <w:ind w:firstLine="482"/>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《水质 六价铬的测定 二苯碳酰二肼分光光度法》（GB 7467）</w:t>
      </w:r>
      <w:r/>
    </w:p>
    <w:p>
      <w:pPr>
        <w:ind w:firstLine="482"/>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《水质 石油类的测定 紫外分光光度法（试行）》（HJ 970）</w:t>
      </w:r>
      <w:r/>
    </w:p>
    <w:p>
      <w:pPr>
        <w:ind w:firstLine="480"/>
        <w:jc w:val="both"/>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注：本项目中所涉及到的相关国家或行业标准为本项目要求的最低要求，如与现行最新标准有所冲突按现行最新标准执行。</w:t>
      </w:r>
      <w:r/>
    </w:p>
    <w:p>
      <w:pPr>
        <w:pStyle w:val="968"/>
        <w:ind w:firstLine="482"/>
        <w:spacing w:line="360" w:lineRule="auto"/>
        <w:rPr>
          <w:rFonts w:ascii="Times New Roman" w:hAnsi="Times New Roman" w:eastAsia="宋体" w:cs="Times New Roman"/>
          <w:color w:val="auto"/>
          <w:sz w:val="28"/>
          <w:szCs w:val="28"/>
        </w:rPr>
      </w:pPr>
      <w:r>
        <w:rPr>
          <w:rFonts w:hint="eastAsia" w:ascii="宋体" w:hAnsi="宋体" w:eastAsia="宋体" w:cs="宋体"/>
          <w:color w:val="auto"/>
          <w:sz w:val="28"/>
          <w:szCs w:val="28"/>
          <w:lang w:val="en-US" w:eastAsia="zh-CN"/>
        </w:rPr>
        <w:t xml:space="preserve">八</w:t>
      </w:r>
      <w:r>
        <w:rPr>
          <w:rFonts w:hint="eastAsia" w:ascii="Times New Roman" w:hAnsi="Times New Roman" w:eastAsia="宋体" w:cs="Times New Roman"/>
          <w:color w:val="auto"/>
          <w:sz w:val="28"/>
          <w:szCs w:val="28"/>
        </w:rPr>
        <w:t xml:space="preserve">、履约验收要求</w:t>
      </w:r>
      <w:r/>
    </w:p>
    <w:p>
      <w:pPr>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rPr>
          <w:rFonts w:hint="eastAsia" w:asciiTheme="minorEastAsia" w:hAnsiTheme="minorEastAsia" w:eastAsiaTheme="minorEastAsia" w:cstheme="minorEastAsia"/>
          <w:color w:val="000000"/>
          <w:sz w:val="24"/>
          <w:szCs w:val="24"/>
          <w:lang w:val="en-US" w:eastAsia="zh-CN"/>
        </w:rPr>
        <w:t xml:space="preserve">  </w:t>
      </w:r>
      <w:r>
        <w:rPr>
          <w:rFonts w:hint="eastAsia" w:asciiTheme="minorEastAsia" w:hAnsiTheme="minorEastAsia" w:eastAsiaTheme="minorEastAsia" w:cstheme="minorEastAsia"/>
          <w:color w:val="000000"/>
          <w:sz w:val="24"/>
          <w:szCs w:val="24"/>
        </w:rPr>
        <w:t xml:space="preserve">1、验收主体：采购人依法组织履约验收工作。</w:t>
      </w:r>
      <w:r/>
    </w:p>
    <w:p>
      <w:pPr>
        <w:ind w:firstLine="480"/>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2、验收时间及验收方式：</w:t>
      </w:r>
      <w:r/>
    </w:p>
    <w:p>
      <w:pPr>
        <w:ind w:firstLine="480"/>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①采购人对中标人提交的货物依据招标文件上的技术规格要求和国家有关质量标准进行现场初步验收，外观、说明书符合招标文件技术要求的，给予签收，初步验收不合格的不予签收并可立即要求退换。</w:t>
      </w:r>
      <w:r/>
    </w:p>
    <w:p>
      <w:pPr>
        <w:ind w:firstLine="480"/>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②货到安装完成后，采购人应当在5个工作日内启动履约验收工作，并向中标人发出《政府采购履约验收通知单》。在采购人将所有的货物按招标文件要求和招标文件要求执行的标准进行验收时，发现有其他损坏或质量问题的，由投标供应商立即予以更换，不得拒绝和延误。</w:t>
      </w:r>
      <w:r/>
    </w:p>
    <w:p>
      <w:pPr>
        <w:ind w:firstLine="480"/>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③中标人交货前应对产品作出全面检查和对验收文件进行整理，并列出清单，作为采购人收货验收和使用的技术条件依据，检验的结果应随货物交采购人。</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④采购人对中标人提供的货物在使用前，中标人需负责安装调试并培训采购人的使用操作人员，并协助采购人一起调试，直到符合技术要求。安装调试费用由中标人负责。</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⑤验收时中标人必须在现场，验收完毕后作出验收结果报告。对技术复杂的项目，采购人可组织有关部门和专家进行验收，相关费用由采购人和中标人双方协商解决。</w:t>
      </w:r>
      <w:r/>
    </w:p>
    <w:p>
      <w:pPr>
        <w:ind w:firstLine="480"/>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3、验收内容：采购文件中的全部内容； </w:t>
      </w:r>
      <w:r/>
    </w:p>
    <w:p>
      <w:pPr>
        <w:ind w:firstLine="480"/>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4、验收标准：符合招标文件要求和符合招标文件要求执行的标准，并充分考虑甲方意见，达到合格。</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5、项目验收材料：提供完整、真实的货物交接单、设备合格证、采购人手册、设备相关测试报告，项目总结报告等。中标人汇报项目整体建造情况，主要包括：设备安装、调试、性能测试结果等。</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6、履约验收过程中的政府采购合同履行、违约责任和争议解决等事项，按照《中华人民共和国民法典》等法律法规和政府采购合同约定执行。</w:t>
      </w:r>
      <w:r/>
    </w:p>
    <w:p>
      <w:pPr>
        <w:ind w:left="0" w:firstLine="422"/>
        <w:jc w:val="left"/>
        <w:spacing w:line="360" w:lineRule="auto"/>
        <w:rPr>
          <w:rFonts w:ascii="Times New Roman" w:hAnsi="Times New Roman" w:cs="Times New Roman"/>
          <w:sz w:val="24"/>
          <w:szCs w:val="24"/>
        </w:rPr>
        <w:outlineLvl w:val="1"/>
      </w:pPr>
      <w:r>
        <w:rPr>
          <w:rFonts w:hint="eastAsia" w:ascii="Times New Roman" w:hAnsi="Times New Roman" w:cs="Times New Roman"/>
          <w:b/>
          <w:sz w:val="28"/>
          <w:szCs w:val="28"/>
          <w:lang w:val="en-US" w:eastAsia="zh-CN"/>
        </w:rPr>
        <w:t xml:space="preserve">九</w:t>
      </w:r>
      <w:r>
        <w:rPr>
          <w:rFonts w:hint="eastAsia" w:ascii="Times New Roman" w:hAnsi="Times New Roman" w:cs="Times New Roman"/>
          <w:b/>
          <w:sz w:val="28"/>
          <w:szCs w:val="28"/>
        </w:rPr>
        <w:t xml:space="preserve">、</w:t>
      </w:r>
      <w:r>
        <w:rPr>
          <w:rFonts w:hint="eastAsia" w:ascii="Times New Roman" w:hAnsi="Times New Roman" w:eastAsia="宋体"/>
          <w:b/>
          <w:sz w:val="28"/>
          <w:szCs w:val="28"/>
        </w:rPr>
        <w:t xml:space="preserve">售后服务要求及其他要求</w:t>
      </w:r>
      <w:r/>
    </w:p>
    <w:p>
      <w:pPr>
        <w:ind w:left="0" w:firstLine="422"/>
        <w:jc w:val="both"/>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1、售后服务要求</w:t>
      </w:r>
      <w:r/>
    </w:p>
    <w:p>
      <w:pPr>
        <w:ind w:left="0" w:firstLine="420"/>
        <w:jc w:val="both"/>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sz w:val="24"/>
          <w:szCs w:val="24"/>
        </w:rPr>
        <w:t xml:space="preserve">在设备的质保期内，中标人应能保证采购人免费更换到原厂正宗的零部件，确保设备的正常使用。质保期内同一产品、同一质量问题连续两次维修仍无法正常使用的，须免费更换同品牌、同样式新产品，并对产品质量</w:t>
      </w:r>
      <w:r>
        <w:rPr>
          <w:rFonts w:hint="eastAsia" w:asciiTheme="minorEastAsia" w:hAnsiTheme="minorEastAsia" w:eastAsiaTheme="minorEastAsia" w:cstheme="minorEastAsia"/>
          <w:color w:val="000000"/>
          <w:sz w:val="24"/>
          <w:szCs w:val="24"/>
        </w:rPr>
        <w:t xml:space="preserve">实行“三包”服务，直至本项目质保期结束。</w:t>
      </w:r>
      <w:r/>
    </w:p>
    <w:p>
      <w:pPr>
        <w:ind w:left="0" w:firstLine="422"/>
        <w:jc w:val="both"/>
        <w:spacing w:line="360" w:lineRule="auto"/>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2、其他技术要求</w:t>
      </w:r>
      <w:r/>
    </w:p>
    <w:p>
      <w:pPr>
        <w:ind w:left="0" w:firstLine="420"/>
        <w:jc w:val="both"/>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（1）技术支持：保修期届满后，对设备进行必要的维护或修理，随时解答采购人各类技术问题，向采购人提供技术支援。</w:t>
      </w:r>
      <w:r/>
    </w:p>
    <w:p>
      <w:pPr>
        <w:ind w:left="0" w:firstLine="420"/>
        <w:jc w:val="both"/>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（2）中标人定期维修保养、提供技术保障等。</w:t>
      </w:r>
      <w:r/>
    </w:p>
    <w:p>
      <w:pPr>
        <w:ind w:left="0" w:firstLine="422"/>
        <w:jc w:val="both"/>
        <w:spacing w:line="360" w:lineRule="auto"/>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3、其他服务要求</w:t>
      </w:r>
      <w:r/>
    </w:p>
    <w:p>
      <w:pPr>
        <w:ind w:left="0" w:firstLine="420"/>
        <w:jc w:val="both"/>
        <w:spacing w:line="360" w:lineRule="auto"/>
        <w:rPr>
          <w:rFonts w:hint="eastAsia" w:asciiTheme="minorEastAsia" w:hAnsiTheme="minorEastAsia" w:eastAsiaTheme="minorEastAsia" w:cstheme="minorEastAsia"/>
          <w:i/>
          <w:iCs/>
          <w:sz w:val="24"/>
          <w:szCs w:val="24"/>
          <w:u w:val="single"/>
        </w:rPr>
      </w:pPr>
      <w:r>
        <w:rPr>
          <w:rFonts w:hint="eastAsia" w:asciiTheme="minorEastAsia" w:hAnsiTheme="minorEastAsia" w:eastAsiaTheme="minorEastAsia" w:cstheme="minorEastAsia"/>
          <w:i/>
          <w:iCs/>
          <w:sz w:val="24"/>
          <w:szCs w:val="24"/>
          <w:u w:val="single"/>
          <w:lang w:eastAsia="zh-CN"/>
        </w:rPr>
        <w:t xml:space="preserve">（</w:t>
      </w:r>
      <w:r>
        <w:rPr>
          <w:rFonts w:hint="eastAsia" w:asciiTheme="minorEastAsia" w:hAnsiTheme="minorEastAsia" w:eastAsiaTheme="minorEastAsia" w:cstheme="minorEastAsia"/>
          <w:i/>
          <w:iCs/>
          <w:sz w:val="24"/>
          <w:szCs w:val="24"/>
          <w:u w:val="single"/>
          <w:lang w:val="en-US" w:eastAsia="zh-CN"/>
        </w:rPr>
        <w:t xml:space="preserve">1</w:t>
      </w:r>
      <w:r>
        <w:rPr>
          <w:rFonts w:hint="eastAsia" w:asciiTheme="minorEastAsia" w:hAnsiTheme="minorEastAsia" w:eastAsiaTheme="minorEastAsia" w:cstheme="minorEastAsia"/>
          <w:i/>
          <w:iCs/>
          <w:sz w:val="24"/>
          <w:szCs w:val="24"/>
          <w:u w:val="single"/>
          <w:lang w:eastAsia="zh-CN"/>
        </w:rPr>
        <w:t xml:space="preserve">）</w:t>
      </w:r>
      <w:r>
        <w:rPr>
          <w:rFonts w:hint="eastAsia" w:asciiTheme="minorEastAsia" w:hAnsiTheme="minorEastAsia" w:eastAsiaTheme="minorEastAsia" w:cstheme="minorEastAsia"/>
          <w:i/>
          <w:iCs/>
          <w:sz w:val="24"/>
          <w:szCs w:val="24"/>
          <w:u w:val="single"/>
        </w:rPr>
        <w:t xml:space="preserve">提供7天×24小时服务电话，每次出现故障时2h响应，24h内提供解决方案，若远程解决不了，则24h内工程师上门维修。如工程师上门维修无法解决故障，需免费更换备机。</w:t>
      </w:r>
      <w:r/>
    </w:p>
    <w:p>
      <w:pPr>
        <w:ind w:left="0" w:firstLine="420"/>
        <w:jc w:val="both"/>
        <w:spacing w:line="360" w:lineRule="auto"/>
        <w:rPr>
          <w:rFonts w:hint="eastAsia" w:asciiTheme="minorEastAsia" w:hAnsiTheme="minorEastAsia" w:eastAsiaTheme="minorEastAsia" w:cstheme="minorEastAsia"/>
          <w:i/>
          <w:iCs/>
          <w:sz w:val="24"/>
          <w:szCs w:val="24"/>
          <w:u w:val="single"/>
        </w:rPr>
      </w:pPr>
      <w:r>
        <w:rPr>
          <w:rFonts w:hint="eastAsia" w:asciiTheme="minorEastAsia" w:hAnsiTheme="minorEastAsia" w:eastAsiaTheme="minorEastAsia" w:cstheme="minorEastAsia"/>
          <w:i/>
          <w:iCs/>
          <w:sz w:val="24"/>
          <w:szCs w:val="24"/>
          <w:u w:val="single"/>
          <w:lang w:eastAsia="zh-CN"/>
        </w:rPr>
        <w:t xml:space="preserve">（</w:t>
      </w:r>
      <w:r>
        <w:rPr>
          <w:rFonts w:hint="eastAsia" w:asciiTheme="minorEastAsia" w:hAnsiTheme="minorEastAsia" w:eastAsiaTheme="minorEastAsia" w:cstheme="minorEastAsia"/>
          <w:i/>
          <w:iCs/>
          <w:sz w:val="24"/>
          <w:szCs w:val="24"/>
          <w:u w:val="single"/>
          <w:lang w:val="en-US" w:eastAsia="zh-CN"/>
        </w:rPr>
        <w:t xml:space="preserve">2</w:t>
      </w:r>
      <w:r>
        <w:rPr>
          <w:rFonts w:hint="eastAsia" w:asciiTheme="minorEastAsia" w:hAnsiTheme="minorEastAsia" w:eastAsiaTheme="minorEastAsia" w:cstheme="minorEastAsia"/>
          <w:i/>
          <w:iCs/>
          <w:sz w:val="24"/>
          <w:szCs w:val="24"/>
          <w:u w:val="single"/>
          <w:lang w:eastAsia="zh-CN"/>
        </w:rPr>
        <w:t xml:space="preserve">）</w:t>
      </w:r>
      <w:r>
        <w:rPr>
          <w:rFonts w:hint="eastAsia" w:asciiTheme="minorEastAsia" w:hAnsiTheme="minorEastAsia" w:eastAsiaTheme="minorEastAsia" w:cstheme="minorEastAsia"/>
          <w:i/>
          <w:iCs/>
          <w:sz w:val="24"/>
          <w:szCs w:val="24"/>
          <w:u w:val="single"/>
        </w:rPr>
        <w:t xml:space="preserve">投标人需为用户单位提供不少于3天6人次的仪器培训，为用户提供仪器的基本原理、操作、日常维护、基础分析理论课程。培训形式可以是用户派遣人员赴制造商开班办的培训班，也可以是制造商派遣培训师赴用户现场培训。投标人提供承诺书，如投标人非制造商，则需提供投标主要产品制造商针对本项目的售后服务承诺书加盖制造商公章。</w:t>
      </w:r>
      <w:r/>
    </w:p>
    <w:p>
      <w:pPr>
        <w:ind w:left="0" w:firstLine="420"/>
        <w:jc w:val="both"/>
        <w:spacing w:line="360" w:lineRule="auto"/>
        <w:rPr>
          <w:rFonts w:hint="eastAsia" w:asciiTheme="minorEastAsia" w:hAnsiTheme="minorEastAsia" w:eastAsiaTheme="minorEastAsia" w:cstheme="minorEastAsia"/>
          <w:i/>
          <w:iCs/>
          <w:sz w:val="24"/>
          <w:szCs w:val="24"/>
          <w:u w:val="single"/>
        </w:rPr>
      </w:pPr>
      <w:r>
        <w:rPr>
          <w:rFonts w:hint="eastAsia" w:asciiTheme="minorEastAsia" w:hAnsiTheme="minorEastAsia" w:eastAsiaTheme="minorEastAsia" w:cstheme="minorEastAsia"/>
          <w:i/>
          <w:iCs/>
          <w:sz w:val="24"/>
          <w:szCs w:val="24"/>
          <w:u w:val="single"/>
          <w:lang w:eastAsia="zh-CN"/>
        </w:rPr>
        <w:t xml:space="preserve">（</w:t>
      </w:r>
      <w:r>
        <w:rPr>
          <w:rFonts w:hint="eastAsia" w:asciiTheme="minorEastAsia" w:hAnsiTheme="minorEastAsia" w:eastAsiaTheme="minorEastAsia" w:cstheme="minorEastAsia"/>
          <w:i/>
          <w:iCs/>
          <w:sz w:val="24"/>
          <w:szCs w:val="24"/>
          <w:u w:val="single"/>
          <w:lang w:val="en-US" w:eastAsia="zh-CN"/>
        </w:rPr>
        <w:t xml:space="preserve">3</w:t>
      </w:r>
      <w:r>
        <w:rPr>
          <w:rFonts w:hint="eastAsia" w:asciiTheme="minorEastAsia" w:hAnsiTheme="minorEastAsia" w:eastAsiaTheme="minorEastAsia" w:cstheme="minorEastAsia"/>
          <w:i/>
          <w:iCs/>
          <w:sz w:val="24"/>
          <w:szCs w:val="24"/>
          <w:u w:val="single"/>
          <w:lang w:eastAsia="zh-CN"/>
        </w:rPr>
        <w:t xml:space="preserve">）</w:t>
      </w:r>
      <w:r>
        <w:rPr>
          <w:rFonts w:hint="eastAsia" w:asciiTheme="minorEastAsia" w:hAnsiTheme="minorEastAsia" w:eastAsiaTheme="minorEastAsia" w:cstheme="minorEastAsia"/>
          <w:i/>
          <w:iCs/>
          <w:sz w:val="24"/>
          <w:szCs w:val="24"/>
          <w:u w:val="single"/>
        </w:rPr>
        <w:t xml:space="preserve">单人驻场服务，自本项目验收之日起开始计算，为期一年。下列服务要求须在驻场服务承诺函中逐条响应，未响应视为无效投标，服务要求：</w:t>
      </w:r>
      <w:r/>
    </w:p>
    <w:p>
      <w:pPr>
        <w:ind w:left="0" w:firstLine="420"/>
        <w:jc w:val="both"/>
        <w:spacing w:line="360" w:lineRule="auto"/>
        <w:rPr>
          <w:rFonts w:hint="eastAsia" w:asciiTheme="minorEastAsia" w:hAnsiTheme="minorEastAsia" w:eastAsiaTheme="minorEastAsia" w:cstheme="minorEastAsia"/>
          <w:i/>
          <w:iCs/>
          <w:sz w:val="24"/>
          <w:szCs w:val="24"/>
          <w:u w:val="single"/>
        </w:rPr>
      </w:pPr>
      <w:r>
        <w:rPr>
          <w:rFonts w:hint="eastAsia" w:asciiTheme="minorEastAsia" w:hAnsiTheme="minorEastAsia" w:eastAsiaTheme="minorEastAsia" w:cstheme="minorEastAsia"/>
          <w:i/>
          <w:iCs/>
          <w:sz w:val="24"/>
          <w:szCs w:val="24"/>
          <w:u w:val="single"/>
          <w:lang w:val="en-US" w:eastAsia="zh-CN"/>
        </w:rPr>
        <w:t xml:space="preserve">1</w:t>
      </w:r>
      <w:r>
        <w:rPr>
          <w:rFonts w:hint="eastAsia" w:asciiTheme="minorEastAsia" w:hAnsiTheme="minorEastAsia" w:eastAsiaTheme="minorEastAsia" w:cstheme="minorEastAsia"/>
          <w:i/>
          <w:iCs/>
          <w:sz w:val="24"/>
          <w:szCs w:val="24"/>
          <w:u w:val="single"/>
        </w:rPr>
        <w:t xml:space="preserve">）考勤：工作期间遵守招标人考勤制度，工作日早、晚打卡，不得缺席，如因特殊情况，需要离开工作岗位，须提前向投标人报备说明，获得批准。如因工作情况需要加班的，应服从招标人的统一安排，加班、值班。所产生的费用由投标人承担。</w:t>
      </w:r>
      <w:r/>
    </w:p>
    <w:p>
      <w:pPr>
        <w:ind w:left="0" w:firstLine="420"/>
        <w:jc w:val="both"/>
        <w:spacing w:line="360" w:lineRule="auto"/>
        <w:rPr>
          <w:rFonts w:hint="eastAsia" w:asciiTheme="minorEastAsia" w:hAnsiTheme="minorEastAsia" w:eastAsiaTheme="minorEastAsia" w:cstheme="minorEastAsia"/>
          <w:i/>
          <w:iCs/>
          <w:sz w:val="24"/>
          <w:szCs w:val="24"/>
          <w:u w:val="single"/>
        </w:rPr>
      </w:pPr>
      <w:r>
        <w:rPr>
          <w:rFonts w:hint="eastAsia" w:asciiTheme="minorEastAsia" w:hAnsiTheme="minorEastAsia" w:eastAsiaTheme="minorEastAsia" w:cstheme="minorEastAsia"/>
          <w:i/>
          <w:iCs/>
          <w:sz w:val="24"/>
          <w:szCs w:val="24"/>
          <w:u w:val="single"/>
        </w:rPr>
        <w:t xml:space="preserve">2）交通：投标人须为驻场服务人员配备必要的交通工具，所产生的费用均由投标人承担。</w:t>
      </w:r>
      <w:r/>
    </w:p>
    <w:p>
      <w:pPr>
        <w:ind w:left="0" w:firstLine="420"/>
        <w:jc w:val="both"/>
        <w:spacing w:line="360" w:lineRule="auto"/>
        <w:rPr>
          <w:rFonts w:hint="eastAsia" w:asciiTheme="minorEastAsia" w:hAnsiTheme="minorEastAsia" w:eastAsiaTheme="minorEastAsia" w:cstheme="minorEastAsia"/>
          <w:i/>
          <w:iCs/>
          <w:sz w:val="24"/>
          <w:szCs w:val="24"/>
          <w:u w:val="single"/>
        </w:rPr>
      </w:pPr>
      <w:r>
        <w:rPr>
          <w:rFonts w:hint="eastAsia" w:asciiTheme="minorEastAsia" w:hAnsiTheme="minorEastAsia" w:eastAsiaTheme="minorEastAsia" w:cstheme="minorEastAsia"/>
          <w:i/>
          <w:iCs/>
          <w:sz w:val="24"/>
          <w:szCs w:val="24"/>
          <w:u w:val="single"/>
        </w:rPr>
        <w:t xml:space="preserve">3）食宿：食宿自理，费用由投标人与驻场服务人员自行协商。招标人不再承担任何费用。</w:t>
      </w:r>
      <w:r/>
    </w:p>
    <w:p>
      <w:pPr>
        <w:ind w:left="0" w:firstLine="420"/>
        <w:jc w:val="both"/>
        <w:spacing w:line="360" w:lineRule="auto"/>
        <w:rPr>
          <w:rFonts w:hint="eastAsia" w:asciiTheme="minorEastAsia" w:hAnsiTheme="minorEastAsia" w:eastAsiaTheme="minorEastAsia" w:cstheme="minorEastAsia"/>
          <w:i/>
          <w:iCs/>
          <w:sz w:val="24"/>
          <w:szCs w:val="24"/>
          <w:u w:val="single"/>
        </w:rPr>
      </w:pPr>
      <w:r>
        <w:rPr>
          <w:rFonts w:hint="eastAsia" w:asciiTheme="minorEastAsia" w:hAnsiTheme="minorEastAsia" w:eastAsiaTheme="minorEastAsia" w:cstheme="minorEastAsia"/>
          <w:i/>
          <w:iCs/>
          <w:sz w:val="24"/>
          <w:szCs w:val="24"/>
          <w:u w:val="single"/>
        </w:rPr>
        <w:t xml:space="preserve">4）保险：投标人为驻场服务人员购买相关保险。</w:t>
      </w:r>
      <w:r/>
    </w:p>
    <w:p>
      <w:pPr>
        <w:ind w:left="0" w:firstLine="420"/>
        <w:jc w:val="both"/>
        <w:spacing w:line="360" w:lineRule="auto"/>
        <w:rPr>
          <w:rFonts w:hint="eastAsia" w:asciiTheme="minorEastAsia" w:hAnsiTheme="minorEastAsia" w:eastAsiaTheme="minorEastAsia" w:cstheme="minorEastAsia"/>
          <w:i/>
          <w:iCs/>
          <w:sz w:val="24"/>
          <w:szCs w:val="24"/>
          <w:u w:val="single"/>
        </w:rPr>
      </w:pPr>
      <w:r>
        <w:rPr>
          <w:rFonts w:hint="eastAsia" w:asciiTheme="minorEastAsia" w:hAnsiTheme="minorEastAsia" w:eastAsiaTheme="minorEastAsia" w:cstheme="minorEastAsia"/>
          <w:i/>
          <w:iCs/>
          <w:sz w:val="24"/>
          <w:szCs w:val="24"/>
          <w:u w:val="single"/>
        </w:rPr>
        <w:t xml:space="preserve">5）工作内容：</w:t>
      </w:r>
      <w:r/>
    </w:p>
    <w:p>
      <w:pPr>
        <w:ind w:left="0" w:firstLine="420"/>
        <w:jc w:val="both"/>
        <w:spacing w:line="360" w:lineRule="auto"/>
        <w:rPr>
          <w:rFonts w:hint="eastAsia" w:asciiTheme="minorEastAsia" w:hAnsiTheme="minorEastAsia" w:eastAsiaTheme="minorEastAsia" w:cstheme="minorEastAsia"/>
          <w:i/>
          <w:iCs/>
          <w:sz w:val="24"/>
          <w:szCs w:val="24"/>
          <w:u w:val="single"/>
        </w:rPr>
      </w:pPr>
      <w:r>
        <w:rPr>
          <w:rFonts w:hint="eastAsia" w:asciiTheme="minorEastAsia" w:hAnsiTheme="minorEastAsia" w:eastAsiaTheme="minorEastAsia" w:cstheme="minorEastAsia"/>
          <w:i/>
          <w:iCs/>
          <w:sz w:val="24"/>
          <w:szCs w:val="24"/>
          <w:u w:val="single"/>
          <w:lang w:val="en-US" w:eastAsia="zh-CN"/>
        </w:rPr>
        <w:t xml:space="preserve">a、</w:t>
      </w:r>
      <w:r>
        <w:rPr>
          <w:rFonts w:hint="eastAsia" w:asciiTheme="minorEastAsia" w:hAnsiTheme="minorEastAsia" w:eastAsiaTheme="minorEastAsia" w:cstheme="minorEastAsia"/>
          <w:i/>
          <w:iCs/>
          <w:sz w:val="24"/>
          <w:szCs w:val="24"/>
          <w:u w:val="single"/>
        </w:rPr>
        <w:t xml:space="preserve">设备日常巡检及维护：每个工作日对水质分析仪器、分液系统、进样和流转系统、质控系统、保障系统以及软件系统进行例行检查。按照设备的保养周期，定期（季度/半年/年）对水质分析仪器、分液系统、进样和流转系统、质控系统、保障系统进行保养。</w:t>
      </w:r>
      <w:r/>
    </w:p>
    <w:p>
      <w:pPr>
        <w:ind w:left="0" w:firstLine="420"/>
        <w:jc w:val="both"/>
        <w:spacing w:line="360" w:lineRule="auto"/>
        <w:rPr>
          <w:rFonts w:hint="eastAsia" w:asciiTheme="minorEastAsia" w:hAnsiTheme="minorEastAsia" w:eastAsiaTheme="minorEastAsia" w:cstheme="minorEastAsia"/>
          <w:i/>
          <w:iCs/>
          <w:sz w:val="24"/>
          <w:szCs w:val="24"/>
          <w:u w:val="single"/>
        </w:rPr>
      </w:pPr>
      <w:r>
        <w:rPr>
          <w:rFonts w:hint="eastAsia" w:asciiTheme="minorEastAsia" w:hAnsiTheme="minorEastAsia" w:eastAsiaTheme="minorEastAsia" w:cstheme="minorEastAsia"/>
          <w:i/>
          <w:iCs/>
          <w:sz w:val="24"/>
          <w:szCs w:val="24"/>
          <w:u w:val="single"/>
          <w:lang w:val="en-US" w:eastAsia="zh-CN"/>
        </w:rPr>
        <w:t xml:space="preserve">b</w:t>
      </w:r>
      <w:r>
        <w:rPr>
          <w:rFonts w:hint="eastAsia" w:asciiTheme="minorEastAsia" w:hAnsiTheme="minorEastAsia" w:eastAsiaTheme="minorEastAsia" w:cstheme="minorEastAsia"/>
          <w:i/>
          <w:iCs/>
          <w:sz w:val="24"/>
          <w:szCs w:val="24"/>
          <w:u w:val="single"/>
        </w:rPr>
        <w:t xml:space="preserve">）设备故障维修：当设备出现故障时，及时联系厂家维修。</w:t>
      </w:r>
      <w:r/>
    </w:p>
    <w:p>
      <w:pPr>
        <w:ind w:left="0" w:firstLine="420"/>
        <w:jc w:val="both"/>
        <w:spacing w:line="360" w:lineRule="auto"/>
        <w:rPr>
          <w:rFonts w:hint="eastAsia" w:asciiTheme="minorEastAsia" w:hAnsiTheme="minorEastAsia" w:eastAsiaTheme="minorEastAsia" w:cstheme="minorEastAsia"/>
          <w:i/>
          <w:iCs/>
          <w:sz w:val="24"/>
          <w:szCs w:val="24"/>
          <w:u w:val="single"/>
        </w:rPr>
      </w:pPr>
      <w:r>
        <w:rPr>
          <w:rFonts w:hint="eastAsia" w:asciiTheme="minorEastAsia" w:hAnsiTheme="minorEastAsia" w:eastAsiaTheme="minorEastAsia" w:cstheme="minorEastAsia"/>
          <w:i/>
          <w:iCs/>
          <w:sz w:val="24"/>
          <w:szCs w:val="24"/>
          <w:u w:val="single"/>
          <w:lang w:val="en-US" w:eastAsia="zh-CN"/>
        </w:rPr>
        <w:t xml:space="preserve">c</w:t>
      </w:r>
      <w:r>
        <w:rPr>
          <w:rFonts w:hint="eastAsia" w:asciiTheme="minorEastAsia" w:hAnsiTheme="minorEastAsia" w:eastAsiaTheme="minorEastAsia" w:cstheme="minorEastAsia"/>
          <w:i/>
          <w:iCs/>
          <w:sz w:val="24"/>
          <w:szCs w:val="24"/>
          <w:u w:val="single"/>
        </w:rPr>
        <w:t xml:space="preserve">）软件升级：驻场服务期间，提供软件的免费升级服务。</w:t>
      </w:r>
      <w:r/>
    </w:p>
    <w:p>
      <w:pPr>
        <w:ind w:left="0" w:firstLine="420"/>
        <w:jc w:val="both"/>
        <w:spacing w:line="360" w:lineRule="auto"/>
        <w:rPr>
          <w:rFonts w:hint="eastAsia" w:asciiTheme="minorEastAsia" w:hAnsiTheme="minorEastAsia" w:eastAsiaTheme="minorEastAsia" w:cstheme="minorEastAsia"/>
          <w:i/>
          <w:iCs/>
          <w:sz w:val="24"/>
          <w:szCs w:val="24"/>
          <w:u w:val="single"/>
          <w:lang w:val="en-US" w:eastAsia="zh-CN"/>
        </w:rPr>
      </w:pPr>
      <w:r>
        <w:rPr>
          <w:rFonts w:hint="eastAsia" w:asciiTheme="minorEastAsia" w:hAnsiTheme="minorEastAsia" w:eastAsiaTheme="minorEastAsia" w:cstheme="minorEastAsia"/>
          <w:i/>
          <w:iCs/>
          <w:sz w:val="24"/>
          <w:szCs w:val="24"/>
          <w:u w:val="single"/>
          <w:lang w:eastAsia="zh-CN"/>
        </w:rPr>
        <w:t xml:space="preserve">（</w:t>
      </w:r>
      <w:r>
        <w:rPr>
          <w:rFonts w:hint="eastAsia" w:asciiTheme="minorEastAsia" w:hAnsiTheme="minorEastAsia" w:eastAsiaTheme="minorEastAsia" w:cstheme="minorEastAsia"/>
          <w:i/>
          <w:iCs/>
          <w:sz w:val="24"/>
          <w:szCs w:val="24"/>
          <w:u w:val="single"/>
          <w:lang w:val="en-US" w:eastAsia="zh-CN"/>
        </w:rPr>
        <w:t xml:space="preserve">4</w:t>
      </w:r>
      <w:r>
        <w:rPr>
          <w:rFonts w:hint="eastAsia" w:asciiTheme="minorEastAsia" w:hAnsiTheme="minorEastAsia" w:eastAsiaTheme="minorEastAsia" w:cstheme="minorEastAsia"/>
          <w:i/>
          <w:iCs/>
          <w:sz w:val="24"/>
          <w:szCs w:val="24"/>
          <w:u w:val="single"/>
          <w:lang w:eastAsia="zh-CN"/>
        </w:rPr>
        <w:t xml:space="preserve">）</w:t>
      </w:r>
      <w:r>
        <w:rPr>
          <w:rFonts w:hint="eastAsia" w:asciiTheme="minorEastAsia" w:hAnsiTheme="minorEastAsia" w:eastAsiaTheme="minorEastAsia" w:cstheme="minorEastAsia"/>
          <w:i/>
          <w:iCs/>
          <w:sz w:val="24"/>
          <w:szCs w:val="24"/>
          <w:u w:val="single"/>
          <w:lang w:val="en-US" w:eastAsia="zh-CN"/>
        </w:rPr>
        <w:t xml:space="preserve">人员配置：</w:t>
      </w:r>
      <w:r/>
    </w:p>
    <w:p>
      <w:pPr>
        <w:ind w:left="0" w:firstLine="420"/>
        <w:jc w:val="both"/>
        <w:spacing w:line="360" w:lineRule="auto"/>
        <w:rPr>
          <w:rFonts w:hint="eastAsia" w:asciiTheme="minorEastAsia" w:hAnsiTheme="minorEastAsia" w:eastAsiaTheme="minorEastAsia" w:cstheme="minorEastAsia"/>
          <w:i/>
          <w:iCs/>
          <w:sz w:val="24"/>
          <w:szCs w:val="24"/>
          <w:u w:val="single"/>
          <w:lang w:val="en-US" w:eastAsia="zh-CN"/>
        </w:rPr>
      </w:pPr>
      <w:r>
        <w:rPr>
          <w:rFonts w:hint="eastAsia" w:asciiTheme="minorEastAsia" w:hAnsiTheme="minorEastAsia" w:eastAsiaTheme="minorEastAsia" w:cstheme="minorEastAsia"/>
          <w:i/>
          <w:iCs/>
          <w:sz w:val="24"/>
          <w:szCs w:val="24"/>
          <w:u w:val="single"/>
          <w:lang w:val="en-US" w:eastAsia="zh-CN"/>
        </w:rPr>
        <w:t xml:space="preserve">除验收后的单人驻场服务外，本项目的交付团队至少需要配置10人以上，包括但不限于项目经理、安装调试工程师、培训工程师、质量员等。</w:t>
      </w:r>
      <w:r/>
    </w:p>
    <w:p>
      <w:pPr>
        <w:ind w:firstLine="562"/>
        <w:jc w:val="left"/>
        <w:spacing w:line="360" w:lineRule="auto"/>
        <w:rPr>
          <w:rFonts w:ascii="Times New Roman" w:hAnsi="Times New Roman" w:cs="Times New Roman"/>
          <w:b/>
          <w:sz w:val="28"/>
          <w:szCs w:val="28"/>
        </w:rPr>
      </w:pPr>
      <w:r>
        <w:rPr>
          <w:rFonts w:hint="eastAsia" w:ascii="Times New Roman" w:hAnsi="Times New Roman" w:cs="Times New Roman"/>
          <w:b/>
          <w:sz w:val="28"/>
          <w:szCs w:val="28"/>
        </w:rPr>
        <w:t xml:space="preserve">十、付款方式与履约保证金</w:t>
      </w:r>
      <w:r/>
    </w:p>
    <w:p>
      <w:pPr>
        <w:ind w:firstLine="480"/>
        <w:jc w:val="left"/>
        <w:spacing w:line="360" w:lineRule="auto"/>
        <w:rPr>
          <w:rFonts w:hint="eastAsia" w:cs="Times New Roman" w:asciiTheme="minorEastAsia" w:hAnsiTheme="minorEastAsia"/>
          <w:i/>
          <w:iCs/>
          <w:sz w:val="24"/>
          <w:szCs w:val="24"/>
          <w:u w:val="single"/>
        </w:rPr>
      </w:pPr>
      <w:r>
        <w:rPr>
          <w:rFonts w:hint="eastAsia" w:cs="Times New Roman" w:asciiTheme="minorEastAsia" w:hAnsiTheme="minorEastAsia"/>
          <w:i/>
          <w:iCs/>
          <w:sz w:val="24"/>
          <w:szCs w:val="24"/>
          <w:u w:val="single"/>
        </w:rPr>
        <w:t xml:space="preserve">1、合同款项的支付方式及进度安排</w:t>
      </w:r>
      <w:r/>
    </w:p>
    <w:p>
      <w:pPr>
        <w:ind w:firstLine="480"/>
        <w:jc w:val="left"/>
        <w:spacing w:line="360" w:lineRule="auto"/>
        <w:rPr>
          <w:rFonts w:cs="Times New Roman" w:asciiTheme="minorEastAsia" w:hAnsiTheme="minorEastAsia"/>
          <w:i/>
          <w:iCs/>
          <w:sz w:val="24"/>
          <w:szCs w:val="24"/>
          <w:u w:val="single"/>
        </w:rPr>
      </w:pPr>
      <w:r>
        <w:rPr>
          <w:rFonts w:hint="eastAsia" w:cs="Times New Roman" w:asciiTheme="minorEastAsia" w:hAnsiTheme="minorEastAsia"/>
          <w:i/>
          <w:iCs/>
          <w:sz w:val="24"/>
          <w:szCs w:val="24"/>
          <w:u w:val="single"/>
        </w:rPr>
        <w:t xml:space="preserve">第一次付款：项目签订合同后，甲方收到乙方发票后的10个工作日内支付合同金额的</w:t>
      </w:r>
      <w:r>
        <w:rPr>
          <w:rFonts w:hint="eastAsia" w:cs="Times New Roman" w:asciiTheme="minorEastAsia" w:hAnsiTheme="minorEastAsia"/>
          <w:i/>
          <w:iCs/>
          <w:sz w:val="24"/>
          <w:szCs w:val="24"/>
          <w:u w:val="single"/>
          <w:lang w:val="en-US" w:eastAsia="zh-CN"/>
        </w:rPr>
        <w:t xml:space="preserve">3</w:t>
      </w:r>
      <w:r>
        <w:rPr>
          <w:rFonts w:hint="eastAsia" w:cs="Times New Roman" w:asciiTheme="minorEastAsia" w:hAnsiTheme="minorEastAsia"/>
          <w:i/>
          <w:iCs/>
          <w:sz w:val="24"/>
          <w:szCs w:val="24"/>
          <w:u w:val="single"/>
        </w:rPr>
        <w:t xml:space="preserve">0%；</w:t>
      </w:r>
      <w:r/>
    </w:p>
    <w:p>
      <w:pPr>
        <w:ind w:firstLine="480"/>
        <w:jc w:val="left"/>
        <w:spacing w:line="360" w:lineRule="auto"/>
        <w:rPr>
          <w:rFonts w:cs="Times New Roman" w:asciiTheme="minorEastAsia" w:hAnsiTheme="minorEastAsia"/>
          <w:i/>
          <w:iCs/>
          <w:sz w:val="24"/>
          <w:szCs w:val="24"/>
          <w:u w:val="single"/>
        </w:rPr>
      </w:pPr>
      <w:r>
        <w:rPr>
          <w:rFonts w:hint="eastAsia" w:cs="Times New Roman" w:asciiTheme="minorEastAsia" w:hAnsiTheme="minorEastAsia"/>
          <w:i/>
          <w:iCs/>
          <w:sz w:val="24"/>
          <w:szCs w:val="24"/>
          <w:u w:val="single"/>
        </w:rPr>
        <w:t xml:space="preserve">第二次付款：项目全部仪器设备到货并通过调试验收合格后10个工作日内支付合同金额的</w:t>
      </w:r>
      <w:r>
        <w:rPr>
          <w:rFonts w:hint="eastAsia" w:cs="Times New Roman" w:asciiTheme="minorEastAsia" w:hAnsiTheme="minorEastAsia"/>
          <w:i/>
          <w:iCs/>
          <w:sz w:val="24"/>
          <w:szCs w:val="24"/>
          <w:u w:val="single"/>
          <w:lang w:val="en-US" w:eastAsia="zh-CN"/>
        </w:rPr>
        <w:t xml:space="preserve">7</w:t>
      </w:r>
      <w:r>
        <w:rPr>
          <w:rFonts w:hint="eastAsia" w:cs="Times New Roman" w:asciiTheme="minorEastAsia" w:hAnsiTheme="minorEastAsia"/>
          <w:i/>
          <w:iCs/>
          <w:sz w:val="24"/>
          <w:szCs w:val="24"/>
          <w:u w:val="single"/>
        </w:rPr>
        <w:t xml:space="preserve">0%。</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2、履约保证金</w:t>
      </w:r>
      <w:r/>
    </w:p>
    <w:p>
      <w:pPr>
        <w:ind w:firstLine="480"/>
        <w:jc w:val="left"/>
        <w:spacing w:line="360" w:lineRule="auto"/>
        <w:rPr>
          <w:rFonts w:ascii="Times New Roman" w:hAnsi="Times New Roman" w:cs="Times New Roman"/>
          <w:i w:val="0"/>
          <w:iCs w:val="0"/>
          <w:szCs w:val="24"/>
          <w:u w:val="none"/>
        </w:rPr>
      </w:pPr>
      <w:r>
        <w:rPr>
          <w:rFonts w:hint="eastAsia" w:cs="Times New Roman" w:asciiTheme="minorEastAsia" w:hAnsiTheme="minorEastAsia"/>
          <w:i w:val="0"/>
          <w:iCs w:val="0"/>
          <w:sz w:val="24"/>
          <w:szCs w:val="24"/>
          <w:u w:val="none"/>
        </w:rPr>
        <w:t xml:space="preserve">本项目不收取履约保证金。</w:t>
      </w:r>
      <w:r/>
    </w:p>
    <w:p>
      <w:pPr>
        <w:ind w:firstLine="562"/>
        <w:jc w:val="left"/>
        <w:spacing w:line="360" w:lineRule="auto"/>
        <w:rPr>
          <w:rFonts w:ascii="Times New Roman" w:hAnsi="Times New Roman" w:cs="Times New Roman"/>
          <w:b/>
          <w:sz w:val="28"/>
          <w:szCs w:val="28"/>
        </w:rPr>
      </w:pPr>
      <w:r>
        <w:rPr>
          <w:rFonts w:hint="eastAsia" w:ascii="Times New Roman" w:hAnsi="Times New Roman" w:cs="Times New Roman"/>
          <w:b/>
          <w:sz w:val="28"/>
          <w:szCs w:val="28"/>
        </w:rPr>
        <w:t xml:space="preserve">十一、</w:t>
      </w:r>
      <w:r>
        <w:rPr>
          <w:rFonts w:hint="eastAsia" w:ascii="Times New Roman" w:hAnsi="Times New Roman" w:eastAsia="宋体"/>
          <w:b/>
          <w:sz w:val="28"/>
          <w:szCs w:val="28"/>
        </w:rPr>
        <w:t xml:space="preserve">投标报价要求</w:t>
      </w:r>
      <w:r/>
    </w:p>
    <w:p>
      <w:pPr>
        <w:ind w:firstLine="480"/>
        <w:spacing w:line="360" w:lineRule="auto"/>
        <w:rPr>
          <w:rFonts w:hint="eastAsia" w:ascii="宋体" w:hAnsi="宋体" w:eastAsia="宋体" w:cs="宋体"/>
          <w:bCs/>
          <w:sz w:val="24"/>
          <w:szCs w:val="24"/>
        </w:rPr>
      </w:pPr>
      <w:r>
        <w:rPr>
          <w:rFonts w:hint="eastAsia" w:ascii="宋体" w:hAnsi="宋体" w:cs="宋体"/>
          <w:bCs/>
          <w:sz w:val="24"/>
          <w:szCs w:val="24"/>
          <w:lang w:val="en-US" w:eastAsia="zh-CN"/>
        </w:rPr>
        <w:t xml:space="preserve">1.</w:t>
      </w:r>
      <w:r>
        <w:rPr>
          <w:rFonts w:hint="eastAsia" w:ascii="宋体" w:hAnsi="宋体" w:eastAsia="宋体" w:cs="宋体"/>
          <w:bCs/>
          <w:sz w:val="24"/>
          <w:szCs w:val="24"/>
        </w:rPr>
        <w:t xml:space="preserve">本次投标报价为总价包干制，中标后不再进行任何调整。</w:t>
      </w:r>
      <w:r/>
    </w:p>
    <w:p>
      <w:pPr>
        <w:ind w:firstLine="480"/>
        <w:spacing w:line="360" w:lineRule="auto"/>
        <w:rPr>
          <w:rFonts w:hint="eastAsia" w:ascii="宋体" w:hAnsi="宋体" w:eastAsia="宋体" w:cs="宋体"/>
          <w:bCs/>
          <w:sz w:val="24"/>
          <w:szCs w:val="24"/>
        </w:rPr>
      </w:pPr>
      <w:r>
        <w:rPr>
          <w:rFonts w:hint="eastAsia" w:ascii="宋体" w:hAnsi="宋体" w:cs="宋体"/>
          <w:bCs/>
          <w:sz w:val="24"/>
          <w:szCs w:val="24"/>
          <w:lang w:val="en-US" w:eastAsia="zh-CN"/>
        </w:rPr>
        <w:t xml:space="preserve">2.</w:t>
      </w:r>
      <w:r>
        <w:rPr>
          <w:rFonts w:hint="eastAsia" w:ascii="宋体" w:hAnsi="宋体" w:eastAsia="宋体" w:cs="宋体"/>
          <w:bCs/>
          <w:sz w:val="24"/>
          <w:szCs w:val="24"/>
        </w:rPr>
        <w:t xml:space="preserve">供应商须以人民币报价，投标总报价包括满足本项目要求的所有产品及其配件、包装、运杂、安装调试及售后服务;人员费用：包括但不限于人员工资、住宿费、差旅费、加班费等；车辆费用：包括但不限于加油费、过桥过路费、维修保养费、改装费、停车费等；包括所有设备质保期内所发生的一切费用。</w:t>
      </w:r>
      <w:r/>
    </w:p>
    <w:p>
      <w:pPr>
        <w:ind w:left="0" w:firstLine="422"/>
        <w:spacing w:line="360" w:lineRule="auto"/>
        <w:rPr>
          <w:rFonts w:ascii="Times New Roman" w:hAnsi="Times New Roman" w:eastAsia="宋体"/>
          <w:b/>
          <w:sz w:val="28"/>
          <w:szCs w:val="28"/>
        </w:rPr>
        <w:outlineLvl w:val="0"/>
      </w:pPr>
      <w:r>
        <w:rPr>
          <w:rFonts w:hint="eastAsia" w:ascii="Times New Roman" w:hAnsi="Times New Roman" w:eastAsia="宋体"/>
          <w:b/>
          <w:sz w:val="28"/>
          <w:szCs w:val="28"/>
        </w:rPr>
        <w:t xml:space="preserve">十</w:t>
      </w:r>
      <w:r>
        <w:rPr>
          <w:rFonts w:hint="eastAsia" w:ascii="Times New Roman" w:hAnsi="Times New Roman"/>
          <w:b/>
          <w:sz w:val="28"/>
          <w:szCs w:val="28"/>
          <w:lang w:val="en-US" w:eastAsia="zh-CN"/>
        </w:rPr>
        <w:t xml:space="preserve">二</w:t>
      </w:r>
      <w:r>
        <w:rPr>
          <w:rFonts w:hint="eastAsia" w:ascii="Times New Roman" w:hAnsi="Times New Roman" w:eastAsia="宋体"/>
          <w:b/>
          <w:sz w:val="28"/>
          <w:szCs w:val="28"/>
        </w:rPr>
        <w:t xml:space="preserve">、其他要求</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本项目报价不得超过预算价（最高限价）。</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特别提醒投标人：应根据国家收费标准并结合市场实际进行报价，总价包干。</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工作中涉及的敏感资料、电子数据等相关信息，中标人应严格执行保密的相关规定，不得以任何方式向任何第三人披露、泄露或许可第三人使用，否则追究其相应法律责任。</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本项目涉及商品包装和快递包装的，中标人提供产品及相关快递服务的要满足《商品包装政府采购需求标准(试行)》、《快递包装政府采购需求标准(试行)》的相关要求。</w:t>
      </w:r>
      <w:r/>
    </w:p>
    <w:p>
      <w:pPr>
        <w:ind w:firstLine="480"/>
        <w:spacing w:line="360" w:lineRule="auto"/>
        <w:rPr>
          <w:rFonts w:ascii="Times New Roman" w:hAnsi="Times New Roman" w:eastAsia="宋体" w:cs="宋体"/>
          <w:szCs w:val="24"/>
        </w:rPr>
      </w:pPr>
      <w:r>
        <w:rPr>
          <w:rFonts w:ascii="Times New Roman" w:hAnsi="Times New Roman" w:eastAsia="宋体" w:cs="宋体"/>
          <w:szCs w:val="24"/>
        </w:rPr>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ind w:firstLine="480"/>
        <w:jc w:val="left"/>
        <w:spacing w:line="360" w:lineRule="auto"/>
        <w:rPr>
          <w:color w:val="auto"/>
          <w:sz w:val="24"/>
          <w:szCs w:val="24"/>
        </w:rPr>
      </w:pPr>
      <w:r>
        <w:rPr>
          <w:color w:val="auto"/>
          <w:sz w:val="24"/>
          <w:szCs w:val="24"/>
        </w:rPr>
      </w:r>
      <w:r/>
    </w:p>
    <w:p>
      <w:pPr>
        <w:rPr>
          <w:rFonts w:ascii="黑体" w:hAnsi="黑体" w:eastAsia="黑体"/>
          <w:color w:val="auto"/>
        </w:rPr>
      </w:pPr>
      <w:r>
        <w:rPr>
          <w:rFonts w:ascii="黑体" w:hAnsi="黑体" w:eastAsia="黑体"/>
          <w:color w:val="auto"/>
        </w:rPr>
      </w:r>
      <w:r/>
    </w:p>
    <w:p>
      <w:pPr>
        <w:rPr>
          <w:rFonts w:ascii="黑体" w:hAnsi="黑体" w:eastAsia="黑体"/>
          <w:color w:val="auto"/>
        </w:rPr>
      </w:pPr>
      <w:r>
        <w:rPr>
          <w:rFonts w:ascii="黑体" w:hAnsi="黑体" w:eastAsia="黑体"/>
          <w:color w:val="auto"/>
        </w:rPr>
      </w:r>
      <w:r/>
    </w:p>
    <w:p>
      <w:pPr>
        <w:jc w:val="left"/>
        <w:widowControl/>
        <w:rPr>
          <w:rFonts w:ascii="黑体" w:hAnsi="黑体" w:eastAsia="黑体"/>
          <w:bCs/>
          <w:color w:val="auto"/>
          <w:sz w:val="44"/>
          <w:szCs w:val="44"/>
        </w:rPr>
      </w:pPr>
      <w:r>
        <w:rPr>
          <w:rFonts w:ascii="黑体" w:hAnsi="黑体" w:eastAsia="黑体"/>
          <w:b/>
          <w:color w:val="auto"/>
        </w:rPr>
        <w:br w:type="page" w:clear="all"/>
      </w:r>
      <w:r/>
    </w:p>
    <w:p>
      <w:pPr>
        <w:pStyle w:val="690"/>
        <w:jc w:val="center"/>
        <w:spacing w:line="360" w:lineRule="auto"/>
        <w:rPr>
          <w:rFonts w:ascii="黑体" w:hAnsi="黑体" w:eastAsia="黑体"/>
          <w:b w:val="0"/>
          <w:color w:val="auto"/>
        </w:rPr>
      </w:pPr>
      <w:r>
        <w:rPr>
          <w:rFonts w:ascii="黑体" w:hAnsi="黑体" w:eastAsia="黑体"/>
          <w:b w:val="0"/>
          <w:color w:val="auto"/>
        </w:rPr>
        <w:t xml:space="preserve">第五章</w:t>
      </w:r>
      <w:r>
        <w:rPr>
          <w:rFonts w:hint="eastAsia" w:ascii="黑体" w:hAnsi="黑体" w:eastAsia="黑体"/>
          <w:b w:val="0"/>
          <w:color w:val="auto"/>
        </w:rPr>
        <w:t xml:space="preserve">  评标方法与评标标准</w:t>
      </w:r>
      <w:bookmarkEnd w:id="8"/>
      <w:r/>
      <w:r/>
    </w:p>
    <w:p>
      <w:pPr>
        <w:ind w:firstLine="480"/>
        <w:jc w:val="left"/>
        <w:spacing w:line="500" w:lineRule="exact"/>
        <w:rPr>
          <w:rFonts w:hint="default" w:ascii="宋体" w:hAnsi="宋体" w:cs="宋体"/>
          <w:b/>
          <w:bCs/>
          <w:color w:val="auto"/>
          <w:sz w:val="24"/>
          <w:szCs w:val="24"/>
        </w:rPr>
      </w:pPr>
      <w:r>
        <w:rPr>
          <w:rFonts w:hint="eastAsia" w:ascii="宋体" w:hAnsi="宋体" w:cs="宋体"/>
          <w:b/>
          <w:bCs/>
          <w:color w:val="auto"/>
          <w:sz w:val="24"/>
          <w:szCs w:val="24"/>
          <w:lang w:eastAsia="zh-CN"/>
        </w:rPr>
        <w:t xml:space="preserve">一</w:t>
      </w:r>
      <w:r>
        <w:rPr>
          <w:rFonts w:hint="default" w:ascii="宋体" w:hAnsi="宋体" w:cs="宋体"/>
          <w:b/>
          <w:bCs/>
          <w:color w:val="auto"/>
          <w:sz w:val="24"/>
          <w:szCs w:val="24"/>
        </w:rPr>
        <w:t xml:space="preserve">、评标方法</w:t>
      </w:r>
      <w:r/>
    </w:p>
    <w:p>
      <w:pPr>
        <w:ind w:firstLine="480"/>
        <w:jc w:val="left"/>
        <w:spacing w:line="500" w:lineRule="exact"/>
        <w:rPr>
          <w:rFonts w:hint="default" w:ascii="宋体" w:hAnsi="宋体" w:cs="宋体"/>
          <w:color w:val="auto"/>
          <w:sz w:val="24"/>
          <w:szCs w:val="24"/>
        </w:rPr>
      </w:pPr>
      <w:r>
        <w:rPr>
          <w:rFonts w:hint="default" w:ascii="宋体" w:hAnsi="宋体" w:cs="宋体"/>
          <w:color w:val="auto"/>
          <w:sz w:val="24"/>
          <w:szCs w:val="24"/>
        </w:rPr>
        <w:t xml:space="preserve">本项目评标方法采用综合评分法。综合评分法，是指投标文件满足招标文件全部实质性要求，且按照评审因素的量化指标评审得分最高的供应商为中标候选人的评标方法。</w:t>
      </w:r>
      <w:r/>
    </w:p>
    <w:p>
      <w:pPr>
        <w:ind w:firstLine="480"/>
        <w:jc w:val="left"/>
        <w:spacing w:line="500" w:lineRule="exact"/>
        <w:rPr>
          <w:rFonts w:hint="default" w:ascii="宋体" w:hAnsi="宋体" w:cs="宋体"/>
          <w:b/>
          <w:bCs/>
          <w:color w:val="auto"/>
          <w:sz w:val="24"/>
          <w:szCs w:val="24"/>
        </w:rPr>
      </w:pPr>
      <w:r>
        <w:rPr>
          <w:rFonts w:hint="eastAsia" w:ascii="宋体" w:hAnsi="宋体" w:cs="宋体"/>
          <w:b/>
          <w:bCs/>
          <w:color w:val="auto"/>
          <w:sz w:val="24"/>
          <w:szCs w:val="24"/>
          <w:lang w:eastAsia="zh-CN"/>
        </w:rPr>
        <w:t xml:space="preserve">二</w:t>
      </w:r>
      <w:r>
        <w:rPr>
          <w:rFonts w:hint="default" w:ascii="宋体" w:hAnsi="宋体" w:cs="宋体"/>
          <w:b/>
          <w:bCs/>
          <w:color w:val="auto"/>
          <w:sz w:val="24"/>
          <w:szCs w:val="24"/>
        </w:rPr>
        <w:t xml:space="preserve">、评标原则</w:t>
      </w:r>
      <w:r/>
    </w:p>
    <w:p>
      <w:pPr>
        <w:ind w:firstLine="480"/>
        <w:jc w:val="left"/>
        <w:spacing w:line="500" w:lineRule="exact"/>
        <w:rPr>
          <w:rFonts w:hint="default" w:ascii="宋体" w:hAnsi="宋体" w:cs="宋体"/>
          <w:color w:val="auto"/>
          <w:sz w:val="24"/>
          <w:szCs w:val="24"/>
        </w:rPr>
      </w:pPr>
      <w:r>
        <w:rPr>
          <w:rFonts w:hint="default" w:ascii="宋体" w:hAnsi="宋体" w:cs="宋体"/>
          <w:color w:val="auto"/>
          <w:sz w:val="24"/>
          <w:szCs w:val="24"/>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firstLine="480"/>
        <w:jc w:val="left"/>
        <w:spacing w:line="500" w:lineRule="exact"/>
        <w:rPr>
          <w:rFonts w:hint="default" w:ascii="宋体" w:hAnsi="宋体" w:cs="宋体"/>
          <w:b/>
          <w:bCs/>
          <w:color w:val="auto"/>
          <w:sz w:val="24"/>
          <w:szCs w:val="24"/>
        </w:rPr>
      </w:pPr>
      <w:r>
        <w:rPr>
          <w:rFonts w:hint="eastAsia" w:ascii="宋体" w:hAnsi="宋体" w:cs="宋体"/>
          <w:b/>
          <w:bCs/>
          <w:color w:val="auto"/>
          <w:sz w:val="24"/>
          <w:szCs w:val="24"/>
          <w:lang w:val="en-US" w:eastAsia="zh-CN"/>
        </w:rPr>
        <w:t xml:space="preserve">三</w:t>
      </w:r>
      <w:r>
        <w:rPr>
          <w:rFonts w:hint="default" w:ascii="宋体" w:hAnsi="宋体" w:cs="宋体"/>
          <w:b/>
          <w:bCs/>
          <w:color w:val="auto"/>
          <w:sz w:val="24"/>
          <w:szCs w:val="24"/>
        </w:rPr>
        <w:t xml:space="preserve">、评标标准</w:t>
      </w:r>
      <w:r/>
    </w:p>
    <w:p>
      <w:pPr>
        <w:ind w:firstLine="480"/>
        <w:jc w:val="left"/>
        <w:spacing w:line="500" w:lineRule="exact"/>
        <w:rPr>
          <w:rFonts w:hint="default" w:ascii="宋体" w:hAnsi="宋体" w:cs="宋体"/>
          <w:color w:val="auto"/>
          <w:sz w:val="24"/>
          <w:szCs w:val="24"/>
        </w:rPr>
      </w:pPr>
      <w:r>
        <w:rPr>
          <w:rFonts w:hint="default" w:ascii="宋体" w:hAnsi="宋体" w:cs="宋体"/>
          <w:color w:val="auto"/>
          <w:sz w:val="24"/>
          <w:szCs w:val="24"/>
        </w:rPr>
        <w:t xml:space="preserve">（一）评标时，评标委员会以招标文件为评标依据，评标委员会各成员独立对每个供应商的投标文件进行评价，并汇总每个供应商的得分。</w:t>
      </w:r>
      <w:r/>
    </w:p>
    <w:p>
      <w:pPr>
        <w:ind w:firstLine="480"/>
        <w:jc w:val="left"/>
        <w:spacing w:line="500" w:lineRule="exact"/>
        <w:rPr>
          <w:rFonts w:hint="default" w:ascii="宋体" w:hAnsi="宋体" w:cs="宋体"/>
          <w:color w:val="auto"/>
          <w:sz w:val="24"/>
          <w:szCs w:val="24"/>
        </w:rPr>
      </w:pPr>
      <w:r>
        <w:rPr>
          <w:rFonts w:hint="default" w:ascii="宋体" w:hAnsi="宋体" w:cs="宋体"/>
          <w:color w:val="auto"/>
          <w:sz w:val="24"/>
          <w:szCs w:val="24"/>
        </w:rPr>
        <w:t xml:space="preserve">（二）本项目评分总分为100分，按四舍五入取至小数点后两位。</w:t>
      </w:r>
      <w:r/>
    </w:p>
    <w:p>
      <w:pPr>
        <w:ind w:firstLine="480"/>
        <w:jc w:val="left"/>
        <w:spacing w:line="500" w:lineRule="exact"/>
        <w:rPr>
          <w:rFonts w:hint="default" w:ascii="宋体" w:hAnsi="宋体" w:cs="宋体"/>
          <w:color w:val="auto"/>
          <w:sz w:val="24"/>
          <w:szCs w:val="24"/>
        </w:rPr>
      </w:pPr>
      <w:r>
        <w:rPr>
          <w:rFonts w:hint="default" w:ascii="宋体" w:hAnsi="宋体" w:cs="宋体"/>
          <w:color w:val="auto"/>
          <w:sz w:val="24"/>
          <w:szCs w:val="24"/>
        </w:rPr>
        <w:t xml:space="preserve">（三）总得分 =价格分 + 商务技术分 </w:t>
      </w:r>
      <w:r/>
    </w:p>
    <w:p>
      <w:pPr>
        <w:ind w:firstLine="480"/>
        <w:jc w:val="left"/>
        <w:spacing w:line="500" w:lineRule="exact"/>
        <w:rPr>
          <w:rFonts w:hint="default" w:ascii="宋体" w:hAnsi="宋体" w:cs="宋体"/>
          <w:color w:val="auto"/>
          <w:sz w:val="24"/>
          <w:szCs w:val="24"/>
        </w:rPr>
      </w:pPr>
      <w:r>
        <w:rPr>
          <w:rFonts w:hint="default" w:ascii="宋体" w:hAnsi="宋体" w:cs="宋体"/>
          <w:color w:val="auto"/>
          <w:sz w:val="24"/>
          <w:szCs w:val="24"/>
        </w:rPr>
        <w:t xml:space="preserve">（四）中标标准：采用综合评分法的，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采购人在评标报告确定的中标候选人名单中按由高到低顺序确定排名第一的为中标人。中标候选人排名并列第一的，由采购人采取随机抽取的方式确定。</w:t>
      </w:r>
      <w:r/>
    </w:p>
    <w:p>
      <w:pPr>
        <w:ind w:firstLine="480"/>
        <w:jc w:val="left"/>
        <w:spacing w:line="500" w:lineRule="exact"/>
        <w:rPr>
          <w:rFonts w:ascii="宋体" w:hAnsi="宋体" w:cs="宋体"/>
          <w:color w:val="auto"/>
          <w:sz w:val="24"/>
          <w:szCs w:val="24"/>
        </w:rPr>
      </w:pPr>
      <w:r>
        <w:rPr>
          <w:rFonts w:ascii="宋体" w:hAnsi="宋体" w:cs="宋体"/>
          <w:color w:val="auto"/>
          <w:sz w:val="24"/>
          <w:szCs w:val="24"/>
        </w:rPr>
      </w:r>
      <w:r/>
    </w:p>
    <w:p>
      <w:pPr>
        <w:jc w:val="center"/>
        <w:spacing w:line="500" w:lineRule="exact"/>
        <w:rPr>
          <w:rFonts w:ascii="宋体" w:hAnsi="宋体" w:cs="宋体"/>
          <w:b/>
          <w:color w:val="auto"/>
          <w:sz w:val="24"/>
          <w:szCs w:val="24"/>
        </w:rPr>
      </w:pPr>
      <w:r>
        <w:rPr>
          <w:rFonts w:hint="eastAsia" w:ascii="宋体" w:hAnsi="宋体" w:cs="宋体"/>
          <w:b/>
          <w:color w:val="auto"/>
          <w:sz w:val="24"/>
          <w:szCs w:val="24"/>
        </w:rPr>
        <w:t xml:space="preserve">综合评分法</w:t>
      </w:r>
      <w:r/>
    </w:p>
    <w:p>
      <w:pPr>
        <w:ind w:firstLine="482"/>
        <w:jc w:val="left"/>
        <w:spacing w:line="500" w:lineRule="exact"/>
        <w:rPr>
          <w:rFonts w:ascii="宋体" w:hAnsi="宋体" w:cs="宋体"/>
          <w:b/>
          <w:color w:val="auto"/>
          <w:sz w:val="24"/>
          <w:szCs w:val="24"/>
        </w:rPr>
      </w:pPr>
      <w:r>
        <w:rPr>
          <w:rFonts w:hint="eastAsia" w:ascii="宋体" w:hAnsi="宋体" w:cs="宋体"/>
          <w:b/>
          <w:color w:val="auto"/>
          <w:sz w:val="24"/>
          <w:szCs w:val="24"/>
        </w:rPr>
        <w:t xml:space="preserve">1.价格分（</w:t>
      </w:r>
      <w:r>
        <w:rPr>
          <w:rFonts w:hint="eastAsia" w:ascii="宋体" w:hAnsi="宋体" w:cs="宋体"/>
          <w:b/>
          <w:color w:val="auto"/>
          <w:sz w:val="24"/>
          <w:szCs w:val="24"/>
          <w:lang w:val="en-US" w:eastAsia="zh-CN"/>
        </w:rPr>
        <w:t xml:space="preserve">30</w:t>
      </w:r>
      <w:r>
        <w:rPr>
          <w:rFonts w:hint="eastAsia" w:ascii="宋体" w:hAnsi="宋体" w:cs="宋体"/>
          <w:b/>
          <w:color w:val="auto"/>
          <w:sz w:val="24"/>
          <w:szCs w:val="24"/>
        </w:rPr>
        <w:t xml:space="preserve">分）</w:t>
      </w:r>
      <w:r/>
    </w:p>
    <w:p>
      <w:pPr>
        <w:ind w:firstLine="480"/>
        <w:jc w:val="left"/>
        <w:spacing w:line="500" w:lineRule="exact"/>
        <w:rPr>
          <w:rFonts w:ascii="宋体" w:hAnsi="宋体" w:cs="宋体"/>
          <w:color w:val="auto"/>
          <w:sz w:val="24"/>
          <w:szCs w:val="24"/>
        </w:rPr>
      </w:pPr>
      <w:r>
        <w:rPr>
          <w:rFonts w:hint="eastAsia" w:ascii="宋体" w:hAnsi="宋体" w:cs="宋体"/>
          <w:color w:val="auto"/>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rFonts w:ascii="宋体" w:hAnsi="宋体" w:cs="宋体"/>
          <w:color w:val="auto"/>
          <w:sz w:val="24"/>
          <w:szCs w:val="24"/>
        </w:rPr>
      </w:pPr>
      <w:r>
        <w:rPr>
          <w:rFonts w:hint="eastAsia" w:ascii="宋体" w:hAnsi="宋体" w:cs="宋体"/>
          <w:color w:val="auto"/>
          <w:sz w:val="24"/>
          <w:szCs w:val="24"/>
        </w:rPr>
        <w:t xml:space="preserve">投标报价得分=（评标基准价/投标报价）×</w:t>
      </w:r>
      <w:r>
        <w:rPr>
          <w:rFonts w:hint="eastAsia" w:ascii="宋体" w:hAnsi="宋体" w:cs="宋体"/>
          <w:bCs/>
          <w:color w:val="auto"/>
          <w:sz w:val="24"/>
          <w:szCs w:val="24"/>
          <w:lang w:val="en-US" w:eastAsia="zh-CN"/>
        </w:rPr>
        <w:t xml:space="preserve">30</w:t>
      </w:r>
      <w:r>
        <w:rPr>
          <w:rFonts w:hint="eastAsia" w:ascii="宋体" w:hAnsi="宋体" w:cs="宋体"/>
          <w:bCs/>
          <w:color w:val="auto"/>
          <w:sz w:val="24"/>
          <w:szCs w:val="24"/>
        </w:rPr>
        <w:t xml:space="preserve">分</w:t>
      </w:r>
      <w:r>
        <w:rPr>
          <w:rFonts w:hint="eastAsia" w:ascii="宋体" w:hAnsi="宋体" w:cs="宋体"/>
          <w:color w:val="auto"/>
          <w:sz w:val="24"/>
          <w:szCs w:val="24"/>
        </w:rPr>
        <w:t xml:space="preserve">。</w:t>
      </w:r>
      <w:r/>
    </w:p>
    <w:p>
      <w:pPr>
        <w:ind w:firstLine="482"/>
        <w:jc w:val="left"/>
        <w:spacing w:line="360" w:lineRule="auto"/>
        <w:rPr>
          <w:rFonts w:hint="eastAsia" w:ascii="宋体" w:hAnsi="宋体" w:cs="宋体"/>
          <w:b/>
          <w:color w:val="auto"/>
          <w:sz w:val="24"/>
          <w:szCs w:val="24"/>
        </w:rPr>
      </w:pPr>
      <w:r>
        <w:rPr>
          <w:rFonts w:hint="eastAsia" w:ascii="宋体" w:hAnsi="宋体" w:cs="宋体"/>
          <w:b/>
          <w:color w:val="auto"/>
          <w:sz w:val="24"/>
          <w:szCs w:val="24"/>
        </w:rPr>
      </w:r>
      <w:r/>
    </w:p>
    <w:p>
      <w:pPr>
        <w:ind w:firstLine="482"/>
        <w:jc w:val="left"/>
        <w:spacing w:line="360" w:lineRule="auto"/>
        <w:rPr>
          <w:rFonts w:hint="eastAsia" w:ascii="宋体" w:hAnsi="宋体" w:cs="宋体"/>
          <w:b/>
          <w:color w:val="auto"/>
          <w:sz w:val="24"/>
          <w:szCs w:val="24"/>
        </w:rPr>
      </w:pPr>
      <w:r>
        <w:rPr>
          <w:rFonts w:hint="eastAsia" w:ascii="宋体" w:hAnsi="宋体" w:cs="宋体"/>
          <w:b/>
          <w:color w:val="auto"/>
          <w:sz w:val="24"/>
          <w:szCs w:val="24"/>
        </w:rPr>
      </w:r>
      <w:r/>
    </w:p>
    <w:p>
      <w:pPr>
        <w:ind w:firstLine="482"/>
        <w:jc w:val="left"/>
        <w:spacing w:line="360" w:lineRule="auto"/>
        <w:rPr>
          <w:rFonts w:hint="eastAsia" w:ascii="宋体" w:hAnsi="宋体" w:cs="宋体"/>
          <w:b/>
          <w:color w:val="auto"/>
          <w:sz w:val="24"/>
          <w:szCs w:val="24"/>
        </w:rPr>
      </w:pPr>
      <w:r>
        <w:rPr>
          <w:rFonts w:hint="eastAsia" w:ascii="宋体" w:hAnsi="宋体" w:cs="宋体"/>
          <w:b/>
          <w:color w:val="auto"/>
          <w:sz w:val="24"/>
          <w:szCs w:val="24"/>
        </w:rPr>
      </w:r>
      <w:r/>
    </w:p>
    <w:p>
      <w:pPr>
        <w:ind w:firstLine="482"/>
        <w:jc w:val="left"/>
        <w:spacing w:line="360" w:lineRule="auto"/>
        <w:rPr>
          <w:rFonts w:hint="eastAsia" w:ascii="宋体" w:hAnsi="宋体" w:cs="宋体"/>
          <w:b/>
          <w:color w:val="auto"/>
          <w:sz w:val="24"/>
          <w:szCs w:val="24"/>
        </w:rPr>
      </w:pPr>
      <w:r>
        <w:rPr>
          <w:rFonts w:hint="eastAsia" w:ascii="宋体" w:hAnsi="宋体" w:cs="宋体"/>
          <w:b/>
          <w:color w:val="auto"/>
          <w:sz w:val="24"/>
          <w:szCs w:val="24"/>
        </w:rPr>
      </w:r>
      <w:r/>
    </w:p>
    <w:p>
      <w:pPr>
        <w:ind w:firstLine="482"/>
        <w:jc w:val="left"/>
        <w:spacing w:line="360" w:lineRule="auto"/>
        <w:rPr>
          <w:rFonts w:ascii="宋体" w:hAnsi="宋体" w:cs="宋体"/>
          <w:b/>
          <w:color w:val="auto"/>
          <w:sz w:val="24"/>
          <w:szCs w:val="24"/>
        </w:rPr>
      </w:pPr>
      <w:r>
        <w:rPr>
          <w:rFonts w:hint="eastAsia" w:ascii="宋体" w:hAnsi="宋体" w:cs="宋体"/>
          <w:b/>
          <w:color w:val="auto"/>
          <w:sz w:val="24"/>
          <w:szCs w:val="24"/>
        </w:rPr>
        <w:t xml:space="preserve">2.</w:t>
      </w:r>
      <w:r>
        <w:rPr>
          <w:rFonts w:hint="eastAsia" w:ascii="宋体" w:hAnsi="宋体" w:cs="宋体"/>
          <w:b/>
          <w:color w:val="auto"/>
          <w:sz w:val="24"/>
          <w:szCs w:val="24"/>
          <w:lang w:val="en-US" w:eastAsia="zh-CN"/>
        </w:rPr>
        <w:t xml:space="preserve">商务</w:t>
      </w:r>
      <w:r>
        <w:rPr>
          <w:rFonts w:hint="eastAsia" w:ascii="宋体" w:hAnsi="宋体" w:cs="宋体"/>
          <w:b/>
          <w:color w:val="auto"/>
          <w:sz w:val="24"/>
          <w:szCs w:val="24"/>
        </w:rPr>
        <w:t xml:space="preserve">部分（</w:t>
      </w:r>
      <w:r>
        <w:rPr>
          <w:rFonts w:hint="eastAsia" w:ascii="宋体" w:hAnsi="宋体" w:cs="宋体"/>
          <w:b/>
          <w:color w:val="auto"/>
          <w:sz w:val="24"/>
          <w:szCs w:val="24"/>
          <w:lang w:val="en-US" w:eastAsia="zh-CN"/>
        </w:rPr>
        <w:t xml:space="preserve">35</w:t>
      </w:r>
      <w:r>
        <w:rPr>
          <w:rFonts w:hint="eastAsia" w:ascii="宋体" w:hAnsi="宋体" w:cs="宋体"/>
          <w:b/>
          <w:color w:val="auto"/>
          <w:sz w:val="24"/>
          <w:szCs w:val="24"/>
        </w:rPr>
        <w:t xml:space="preserve">分）</w:t>
      </w:r>
      <w:r/>
    </w:p>
    <w:tbl>
      <w:tblPr>
        <w:tblStyle w:val="767"/>
        <w:tblW w:w="0" w:type="auto"/>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65"/>
        <w:gridCol w:w="720"/>
        <w:gridCol w:w="7553"/>
      </w:tblGrid>
      <w:tr>
        <w:trPr>
          <w:trHeight w:val="659"/>
        </w:trPr>
        <w:tc>
          <w:tcPr>
            <w:tcW w:w="1365" w:type="dxa"/>
            <w:vAlign w:val="center"/>
            <w:textDirection w:val="lrTb"/>
            <w:noWrap w:val="false"/>
          </w:tcPr>
          <w:p>
            <w:pPr>
              <w:pStyle w:val="760"/>
              <w:jc w:val="center"/>
              <w:tabs>
                <w:tab w:val="left" w:pos="720" w:leader="none"/>
              </w:tabs>
              <w:rPr>
                <w:color w:val="auto"/>
                <w:sz w:val="24"/>
                <w:szCs w:val="24"/>
              </w:rPr>
            </w:pPr>
            <w:r>
              <w:rPr>
                <w:rFonts w:hint="eastAsia"/>
                <w:color w:val="auto"/>
                <w:sz w:val="24"/>
                <w:szCs w:val="24"/>
              </w:rPr>
              <w:t xml:space="preserve">评审内容</w:t>
            </w:r>
            <w:r/>
          </w:p>
        </w:tc>
        <w:tc>
          <w:tcPr>
            <w:tcW w:w="720" w:type="dxa"/>
            <w:vAlign w:val="center"/>
            <w:textDirection w:val="lrTb"/>
            <w:noWrap w:val="false"/>
          </w:tcPr>
          <w:p>
            <w:pPr>
              <w:pStyle w:val="760"/>
              <w:jc w:val="center"/>
              <w:tabs>
                <w:tab w:val="left" w:pos="720" w:leader="none"/>
              </w:tabs>
              <w:rPr>
                <w:color w:val="auto"/>
                <w:sz w:val="24"/>
                <w:szCs w:val="24"/>
              </w:rPr>
            </w:pPr>
            <w:r>
              <w:rPr>
                <w:rFonts w:hint="eastAsia"/>
                <w:color w:val="auto"/>
                <w:sz w:val="24"/>
                <w:szCs w:val="24"/>
              </w:rPr>
              <w:t xml:space="preserve">分值</w:t>
            </w:r>
            <w:r/>
          </w:p>
        </w:tc>
        <w:tc>
          <w:tcPr>
            <w:tcW w:w="7553" w:type="dxa"/>
            <w:vAlign w:val="center"/>
            <w:textDirection w:val="lrTb"/>
            <w:noWrap w:val="false"/>
          </w:tcPr>
          <w:p>
            <w:pPr>
              <w:pStyle w:val="760"/>
              <w:jc w:val="center"/>
              <w:tabs>
                <w:tab w:val="left" w:pos="720" w:leader="none"/>
              </w:tabs>
              <w:rPr>
                <w:color w:val="auto"/>
                <w:sz w:val="24"/>
                <w:szCs w:val="24"/>
              </w:rPr>
            </w:pPr>
            <w:r>
              <w:rPr>
                <w:rFonts w:hint="eastAsia"/>
                <w:color w:val="auto"/>
                <w:sz w:val="24"/>
                <w:szCs w:val="24"/>
              </w:rPr>
              <w:t xml:space="preserve">评分标准</w:t>
            </w:r>
            <w:r/>
          </w:p>
        </w:tc>
      </w:tr>
      <w:tr>
        <w:trPr>
          <w:trHeight w:val="2054"/>
        </w:trPr>
        <w:tc>
          <w:tcPr>
            <w:tcW w:w="1365" w:type="dxa"/>
            <w:vAlign w:val="center"/>
            <w:textDirection w:val="lrTb"/>
            <w:noWrap w:val="false"/>
          </w:tcPr>
          <w:p>
            <w:pPr>
              <w:pStyle w:val="760"/>
              <w:jc w:val="center"/>
              <w:spacing w:line="276" w:lineRule="auto"/>
              <w:tabs>
                <w:tab w:val="left" w:pos="720" w:leader="none"/>
              </w:tabs>
              <w:rPr>
                <w:rFonts w:hint="eastAsia" w:ascii="Times New Roman" w:hAnsi="Times New Roman" w:eastAsia="宋体" w:cs="宋体"/>
                <w:bCs/>
                <w:szCs w:val="24"/>
              </w:rPr>
            </w:pPr>
            <w:r>
              <w:rPr>
                <w:rFonts w:hint="eastAsia" w:ascii="Times New Roman" w:hAnsi="Times New Roman" w:eastAsia="宋体" w:cs="宋体"/>
                <w:bCs/>
                <w:szCs w:val="24"/>
              </w:rPr>
              <w:t xml:space="preserve">技术参数响应</w:t>
            </w:r>
            <w:r/>
          </w:p>
          <w:p>
            <w:pPr>
              <w:pStyle w:val="760"/>
              <w:jc w:val="center"/>
              <w:spacing w:line="276" w:lineRule="auto"/>
              <w:tabs>
                <w:tab w:val="left" w:pos="72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cs="宋体"/>
                <w:color w:val="auto"/>
                <w:sz w:val="24"/>
                <w:szCs w:val="24"/>
                <w:lang w:val="en-US" w:eastAsia="zh-CN"/>
              </w:rPr>
              <w:t xml:space="preserve">25</w:t>
            </w:r>
            <w:r>
              <w:rPr>
                <w:rFonts w:hint="eastAsia" w:ascii="宋体" w:hAnsi="宋体" w:eastAsia="宋体" w:cs="宋体"/>
                <w:color w:val="auto"/>
                <w:sz w:val="24"/>
                <w:szCs w:val="24"/>
              </w:rPr>
              <w:t xml:space="preserve">分）</w:t>
            </w:r>
            <w:r/>
          </w:p>
        </w:tc>
        <w:tc>
          <w:tcPr>
            <w:tcW w:w="720" w:type="dxa"/>
            <w:vAlign w:val="center"/>
            <w:textDirection w:val="lrTb"/>
            <w:noWrap w:val="false"/>
          </w:tcPr>
          <w:p>
            <w:pPr>
              <w:pStyle w:val="760"/>
              <w:jc w:val="center"/>
              <w:spacing w:line="276" w:lineRule="auto"/>
              <w:tabs>
                <w:tab w:val="left" w:pos="720" w:leader="none"/>
              </w:tabs>
              <w:rPr>
                <w:rFonts w:hint="default" w:ascii="宋体" w:hAnsi="宋体" w:eastAsia="宋体" w:cs="宋体"/>
                <w:color w:val="auto"/>
                <w:sz w:val="24"/>
                <w:szCs w:val="24"/>
                <w:lang w:val="en-US" w:eastAsia="zh-CN"/>
              </w:rPr>
            </w:pPr>
            <w:r>
              <w:rPr>
                <w:rFonts w:hint="eastAsia" w:cs="宋体"/>
                <w:color w:val="auto"/>
                <w:sz w:val="24"/>
                <w:szCs w:val="24"/>
                <w:lang w:val="en-US" w:eastAsia="zh-CN"/>
              </w:rPr>
              <w:t xml:space="preserve">25</w:t>
            </w:r>
            <w:r/>
          </w:p>
        </w:tc>
        <w:tc>
          <w:tcPr>
            <w:tcW w:w="7553" w:type="dxa"/>
            <w:vAlign w:val="center"/>
            <w:textDirection w:val="lrTb"/>
            <w:noWrap w:val="false"/>
          </w:tcPr>
          <w:p>
            <w:pPr>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评标委员会根据招标文件第四章采购需求中货物（标的）技术参数及功能指标响应情况进行评分。</w:t>
            </w:r>
            <w:r/>
          </w:p>
          <w:p>
            <w:pPr>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完全满足或高于招标文件第四章采购需求中货物（标的）技术参数及功能指标的，</w:t>
            </w:r>
            <w:r>
              <w:rPr>
                <w:rFonts w:hint="eastAsia" w:asciiTheme="minorEastAsia" w:hAnsiTheme="minorEastAsia" w:eastAsiaTheme="minorEastAsia" w:cstheme="minorEastAsia"/>
                <w:b/>
                <w:bCs/>
                <w:sz w:val="24"/>
                <w:szCs w:val="24"/>
              </w:rPr>
              <w:t xml:space="preserve">得</w:t>
            </w:r>
            <w:r>
              <w:rPr>
                <w:rFonts w:hint="eastAsia" w:asciiTheme="minorEastAsia" w:hAnsiTheme="minorEastAsia" w:eastAsiaTheme="minorEastAsia" w:cstheme="minorEastAsia"/>
                <w:b/>
                <w:bCs/>
                <w:sz w:val="24"/>
                <w:szCs w:val="24"/>
                <w:lang w:val="en-US" w:eastAsia="zh-CN"/>
              </w:rPr>
              <w:t xml:space="preserve">25</w:t>
            </w:r>
            <w:r>
              <w:rPr>
                <w:rFonts w:hint="eastAsia" w:asciiTheme="minorEastAsia" w:hAnsiTheme="minorEastAsia" w:eastAsiaTheme="minorEastAsia" w:cstheme="minorEastAsia"/>
                <w:b/>
                <w:bCs/>
                <w:sz w:val="24"/>
                <w:szCs w:val="24"/>
              </w:rPr>
              <w:t xml:space="preserve">分</w:t>
            </w:r>
            <w:r>
              <w:rPr>
                <w:rFonts w:hint="eastAsia" w:asciiTheme="minorEastAsia" w:hAnsiTheme="minorEastAsia" w:eastAsiaTheme="minorEastAsia" w:cstheme="minorEastAsia"/>
                <w:sz w:val="24"/>
                <w:szCs w:val="24"/>
              </w:rPr>
              <w:t xml:space="preserve">；不响应招标文件第四章采购需求中货物（标的）技术参数及功能指标的扣分：其中标注“▲”项每有一项负偏离</w:t>
            </w:r>
            <w:r>
              <w:rPr>
                <w:rFonts w:hint="eastAsia" w:asciiTheme="minorEastAsia" w:hAnsiTheme="minorEastAsia" w:eastAsiaTheme="minorEastAsia" w:cstheme="minorEastAsia"/>
                <w:b/>
                <w:bCs/>
                <w:sz w:val="24"/>
                <w:szCs w:val="24"/>
                <w:highlight w:val="none"/>
              </w:rPr>
              <w:t xml:space="preserve">扣</w:t>
            </w:r>
            <w:r>
              <w:rPr>
                <w:rFonts w:hint="eastAsia" w:asciiTheme="minorEastAsia" w:hAnsiTheme="minorEastAsia" w:eastAsiaTheme="minorEastAsia" w:cstheme="minorEastAsia"/>
                <w:b/>
                <w:bCs/>
                <w:sz w:val="24"/>
                <w:szCs w:val="24"/>
                <w:highlight w:val="none"/>
                <w:lang w:val="en-US" w:eastAsia="zh-CN"/>
              </w:rPr>
              <w:t xml:space="preserve">1</w:t>
            </w:r>
            <w:r>
              <w:rPr>
                <w:rFonts w:hint="eastAsia" w:asciiTheme="minorEastAsia" w:hAnsiTheme="minorEastAsia" w:eastAsiaTheme="minorEastAsia" w:cstheme="minorEastAsia"/>
                <w:b/>
                <w:bCs/>
                <w:sz w:val="24"/>
                <w:szCs w:val="24"/>
                <w:highlight w:val="none"/>
              </w:rPr>
              <w:t xml:space="preserve">分</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扣完为止</w:t>
            </w: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sz w:val="24"/>
                <w:szCs w:val="24"/>
                <w:highlight w:val="none"/>
                <w:lang w:val="en-US" w:eastAsia="zh-CN"/>
              </w:rPr>
              <w:t xml:space="preserve">投标人</w:t>
            </w:r>
            <w:r>
              <w:rPr>
                <w:rFonts w:hint="eastAsia" w:asciiTheme="minorEastAsia" w:hAnsiTheme="minorEastAsia" w:eastAsiaTheme="minorEastAsia" w:cstheme="minorEastAsia"/>
                <w:sz w:val="24"/>
                <w:szCs w:val="24"/>
              </w:rPr>
              <w:t xml:space="preserve">须在投标文件内提供相关证明材料（按采购需求要求提供，如果采购需求中未提及，</w:t>
            </w:r>
            <w:r>
              <w:rPr>
                <w:rFonts w:hint="eastAsia" w:asciiTheme="minorEastAsia" w:hAnsiTheme="minorEastAsia" w:eastAsiaTheme="minorEastAsia" w:cstheme="minorEastAsia"/>
                <w:sz w:val="24"/>
                <w:szCs w:val="24"/>
                <w:lang w:val="en-US" w:eastAsia="zh-CN"/>
              </w:rPr>
              <w:t xml:space="preserve">可</w:t>
            </w:r>
            <w:r>
              <w:rPr>
                <w:rFonts w:hint="eastAsia" w:asciiTheme="minorEastAsia" w:hAnsiTheme="minorEastAsia" w:eastAsiaTheme="minorEastAsia" w:cstheme="minorEastAsia"/>
                <w:sz w:val="24"/>
                <w:szCs w:val="24"/>
              </w:rPr>
              <w:t xml:space="preserve">提供产品</w:t>
            </w:r>
            <w:r>
              <w:rPr>
                <w:rFonts w:hint="eastAsia" w:asciiTheme="minorEastAsia" w:hAnsiTheme="minorEastAsia" w:eastAsiaTheme="minorEastAsia" w:cstheme="minorEastAsia"/>
                <w:sz w:val="24"/>
                <w:szCs w:val="24"/>
                <w:lang w:val="en-US" w:eastAsia="zh-CN"/>
              </w:rPr>
              <w:t xml:space="preserve">原厂技术白皮书或原厂</w:t>
            </w:r>
            <w:r>
              <w:rPr>
                <w:rFonts w:hint="eastAsia" w:asciiTheme="minorEastAsia" w:hAnsiTheme="minorEastAsia" w:eastAsiaTheme="minorEastAsia" w:cstheme="minorEastAsia"/>
                <w:sz w:val="24"/>
                <w:szCs w:val="24"/>
              </w:rPr>
              <w:t xml:space="preserve">彩页或设备检测报告），否则对应技术条款将视为不满足。</w:t>
            </w:r>
            <w:r/>
          </w:p>
          <w:p>
            <w:pPr>
              <w:spacing w:line="360" w:lineRule="auto"/>
              <w:rPr>
                <w:rFonts w:hint="eastAsia" w:ascii="宋体" w:hAnsi="宋体" w:eastAsia="宋体" w:cs="宋体"/>
                <w:color w:val="auto"/>
                <w:sz w:val="24"/>
                <w:szCs w:val="24"/>
              </w:rPr>
            </w:pPr>
            <w:r>
              <w:rPr>
                <w:rFonts w:hint="eastAsia" w:asciiTheme="minorEastAsia" w:hAnsiTheme="minorEastAsia" w:eastAsiaTheme="minorEastAsia" w:cstheme="minorEastAsia"/>
                <w:b/>
                <w:bCs/>
                <w:color w:val="auto"/>
                <w:sz w:val="24"/>
                <w:szCs w:val="24"/>
                <w:lang w:val="en-US" w:eastAsia="zh-CN"/>
              </w:rPr>
              <w:t xml:space="preserve">注：</w:t>
            </w:r>
            <w:r>
              <w:rPr>
                <w:rFonts w:hint="eastAsia" w:asciiTheme="minorEastAsia" w:hAnsiTheme="minorEastAsia" w:eastAsiaTheme="minorEastAsia" w:cstheme="minorEastAsia"/>
                <w:b/>
                <w:bCs/>
                <w:color w:val="auto"/>
                <w:sz w:val="24"/>
                <w:szCs w:val="24"/>
              </w:rPr>
              <w:t xml:space="preserve">投标人须准备原件备查，在中标后、签订合同前应出示相关证明材料原件</w:t>
            </w:r>
            <w:r>
              <w:rPr>
                <w:rFonts w:hint="eastAsia" w:asciiTheme="minorEastAsia" w:hAnsiTheme="minorEastAsia" w:eastAsiaTheme="minorEastAsia" w:cstheme="minorEastAsia"/>
                <w:b/>
                <w:bCs/>
                <w:color w:val="auto"/>
                <w:sz w:val="24"/>
                <w:szCs w:val="24"/>
                <w:lang w:eastAsia="zh-CN"/>
              </w:rPr>
              <w:t xml:space="preserve">（</w:t>
            </w:r>
            <w:r>
              <w:rPr>
                <w:rFonts w:hint="eastAsia" w:asciiTheme="minorEastAsia" w:hAnsiTheme="minorEastAsia" w:eastAsiaTheme="minorEastAsia" w:cstheme="minorEastAsia"/>
                <w:b/>
                <w:bCs/>
                <w:color w:val="auto"/>
                <w:sz w:val="24"/>
                <w:szCs w:val="24"/>
                <w:lang w:val="en-US" w:eastAsia="zh-CN"/>
              </w:rPr>
              <w:t xml:space="preserve">如证明材料为视频截图的，须在此时出示该视频</w:t>
            </w:r>
            <w:r>
              <w:rPr>
                <w:rFonts w:hint="eastAsia" w:asciiTheme="minorEastAsia" w:hAnsiTheme="minorEastAsia" w:eastAsiaTheme="minorEastAsia" w:cstheme="minorEastAsia"/>
                <w:b/>
                <w:bCs/>
                <w:color w:val="auto"/>
                <w:sz w:val="24"/>
                <w:szCs w:val="24"/>
                <w:lang w:eastAsia="zh-CN"/>
              </w:rPr>
              <w:t xml:space="preserve">）</w:t>
            </w:r>
            <w:r>
              <w:rPr>
                <w:rFonts w:hint="eastAsia" w:asciiTheme="minorEastAsia" w:hAnsiTheme="minorEastAsia" w:eastAsiaTheme="minorEastAsia" w:cstheme="minorEastAsia"/>
                <w:b/>
                <w:bCs/>
                <w:color w:val="auto"/>
                <w:sz w:val="24"/>
                <w:szCs w:val="24"/>
              </w:rPr>
              <w:t xml:space="preserve">，若发现提供虚假的证明材料或虚假应答技术偏离表的，均视为无效投标，并追究相关责任。</w:t>
            </w:r>
            <w:r/>
          </w:p>
        </w:tc>
      </w:tr>
      <w:tr>
        <w:trPr>
          <w:trHeight w:val="880"/>
        </w:trPr>
        <w:tc>
          <w:tcPr>
            <w:tcW w:w="1365" w:type="dxa"/>
            <w:vAlign w:val="center"/>
            <w:textDirection w:val="lrTb"/>
            <w:noWrap w:val="false"/>
          </w:tcPr>
          <w:p>
            <w:pPr>
              <w:pStyle w:val="760"/>
              <w:jc w:val="center"/>
              <w:spacing w:line="276" w:lineRule="auto"/>
              <w:tabs>
                <w:tab w:val="left" w:pos="720" w:leader="none"/>
              </w:tabs>
              <w:rPr>
                <w:rFonts w:hint="eastAsia" w:ascii="宋体" w:hAnsi="宋体" w:eastAsia="宋体" w:cs="宋体"/>
                <w:color w:val="auto"/>
                <w:sz w:val="24"/>
                <w:szCs w:val="24"/>
              </w:rPr>
            </w:pPr>
            <w:r>
              <w:rPr>
                <w:rFonts w:hint="eastAsia" w:ascii="Times New Roman" w:hAnsi="Times New Roman" w:cs="宋体"/>
                <w:bCs/>
                <w:color w:val="auto"/>
                <w:sz w:val="24"/>
                <w:szCs w:val="22"/>
              </w:rPr>
              <w:t xml:space="preserve">体系认证（</w:t>
            </w:r>
            <w:r>
              <w:rPr>
                <w:rFonts w:hint="eastAsia" w:ascii="Times New Roman" w:hAnsi="Times New Roman" w:cs="宋体"/>
                <w:bCs/>
                <w:color w:val="auto"/>
                <w:sz w:val="24"/>
                <w:szCs w:val="22"/>
                <w:lang w:val="en-US" w:eastAsia="zh-CN"/>
              </w:rPr>
              <w:t xml:space="preserve">2</w:t>
            </w:r>
            <w:r>
              <w:rPr>
                <w:rFonts w:hint="eastAsia" w:ascii="Times New Roman" w:hAnsi="Times New Roman" w:cs="宋体"/>
                <w:bCs/>
                <w:color w:val="auto"/>
                <w:sz w:val="24"/>
                <w:szCs w:val="22"/>
              </w:rPr>
              <w:t xml:space="preserve">分）</w:t>
            </w:r>
            <w:r/>
          </w:p>
        </w:tc>
        <w:tc>
          <w:tcPr>
            <w:tcW w:w="720" w:type="dxa"/>
            <w:vAlign w:val="center"/>
            <w:textDirection w:val="lrTb"/>
            <w:noWrap w:val="false"/>
          </w:tcPr>
          <w:p>
            <w:pPr>
              <w:pStyle w:val="760"/>
              <w:jc w:val="center"/>
              <w:spacing w:line="276" w:lineRule="auto"/>
              <w:tabs>
                <w:tab w:val="left" w:pos="720" w:leader="none"/>
              </w:tabs>
              <w:rPr>
                <w:rFonts w:hint="default" w:cs="宋体"/>
                <w:color w:val="auto"/>
                <w:sz w:val="24"/>
                <w:szCs w:val="24"/>
                <w:lang w:val="en-US" w:eastAsia="zh-CN"/>
              </w:rPr>
            </w:pPr>
            <w:r>
              <w:rPr>
                <w:rFonts w:hint="eastAsia" w:cs="宋体"/>
                <w:color w:val="auto"/>
                <w:sz w:val="24"/>
                <w:szCs w:val="24"/>
                <w:lang w:val="en-US" w:eastAsia="zh-CN"/>
              </w:rPr>
              <w:t xml:space="preserve">2</w:t>
            </w:r>
            <w:r/>
          </w:p>
        </w:tc>
        <w:tc>
          <w:tcPr>
            <w:tcW w:w="7553" w:type="dxa"/>
            <w:vAlign w:val="center"/>
            <w:textDirection w:val="lrTb"/>
            <w:noWrap w:val="false"/>
          </w:tcPr>
          <w:p>
            <w:pPr>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1、投标人通过质量管理体系认证的，</w:t>
            </w:r>
            <w:r>
              <w:rPr>
                <w:rFonts w:hint="eastAsia" w:asciiTheme="minorEastAsia" w:hAnsiTheme="minorEastAsia" w:eastAsiaTheme="minorEastAsia" w:cstheme="minorEastAsia"/>
                <w:b/>
                <w:bCs/>
                <w:sz w:val="24"/>
                <w:szCs w:val="24"/>
              </w:rPr>
              <w:t xml:space="preserve">得</w:t>
            </w:r>
            <w:r>
              <w:rPr>
                <w:rFonts w:hint="eastAsia" w:asciiTheme="minorEastAsia" w:hAnsiTheme="minorEastAsia" w:eastAsiaTheme="minorEastAsia" w:cstheme="minorEastAsia"/>
                <w:b/>
                <w:bCs/>
                <w:sz w:val="24"/>
                <w:szCs w:val="24"/>
                <w:lang w:val="en-US" w:eastAsia="zh-CN"/>
              </w:rPr>
              <w:t xml:space="preserve">0.5</w:t>
            </w:r>
            <w:r>
              <w:rPr>
                <w:rFonts w:hint="eastAsia" w:asciiTheme="minorEastAsia" w:hAnsiTheme="minorEastAsia" w:eastAsiaTheme="minorEastAsia" w:cstheme="minorEastAsia"/>
                <w:b/>
                <w:bCs/>
                <w:sz w:val="24"/>
                <w:szCs w:val="24"/>
              </w:rPr>
              <w:t xml:space="preserve">分；</w:t>
            </w:r>
            <w:r/>
          </w:p>
          <w:p>
            <w:pPr>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2、投标人通过环境管理体系认证的，</w:t>
            </w:r>
            <w:r>
              <w:rPr>
                <w:rFonts w:hint="eastAsia" w:asciiTheme="minorEastAsia" w:hAnsiTheme="minorEastAsia" w:eastAsiaTheme="minorEastAsia" w:cstheme="minorEastAsia"/>
                <w:b/>
                <w:bCs/>
                <w:sz w:val="24"/>
                <w:szCs w:val="24"/>
              </w:rPr>
              <w:t xml:space="preserve">得</w:t>
            </w:r>
            <w:r>
              <w:rPr>
                <w:rFonts w:hint="eastAsia" w:asciiTheme="minorEastAsia" w:hAnsiTheme="minorEastAsia" w:eastAsiaTheme="minorEastAsia" w:cstheme="minorEastAsia"/>
                <w:b/>
                <w:bCs/>
                <w:sz w:val="24"/>
                <w:szCs w:val="24"/>
                <w:lang w:val="en-US" w:eastAsia="zh-CN"/>
              </w:rPr>
              <w:t xml:space="preserve">0.5</w:t>
            </w:r>
            <w:r>
              <w:rPr>
                <w:rFonts w:hint="eastAsia" w:asciiTheme="minorEastAsia" w:hAnsiTheme="minorEastAsia" w:eastAsiaTheme="minorEastAsia" w:cstheme="minorEastAsia"/>
                <w:b/>
                <w:bCs/>
                <w:sz w:val="24"/>
                <w:szCs w:val="24"/>
              </w:rPr>
              <w:t xml:space="preserve">分；</w:t>
            </w:r>
            <w:r/>
          </w:p>
          <w:p>
            <w:pPr>
              <w:spacing w:line="360" w:lineRule="auto"/>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sz w:val="24"/>
                <w:szCs w:val="24"/>
              </w:rPr>
              <w:t xml:space="preserve">3、投标人通过职业健康安全管理体系认证的，</w:t>
            </w:r>
            <w:r>
              <w:rPr>
                <w:rFonts w:hint="eastAsia" w:asciiTheme="minorEastAsia" w:hAnsiTheme="minorEastAsia" w:eastAsiaTheme="minorEastAsia" w:cstheme="minorEastAsia"/>
                <w:b/>
                <w:bCs/>
                <w:sz w:val="24"/>
                <w:szCs w:val="24"/>
              </w:rPr>
              <w:t xml:space="preserve">得</w:t>
            </w:r>
            <w:r>
              <w:rPr>
                <w:rFonts w:hint="eastAsia" w:asciiTheme="minorEastAsia" w:hAnsiTheme="minorEastAsia" w:eastAsiaTheme="minorEastAsia" w:cstheme="minorEastAsia"/>
                <w:b/>
                <w:bCs/>
                <w:sz w:val="24"/>
                <w:szCs w:val="24"/>
                <w:lang w:val="en-US" w:eastAsia="zh-CN"/>
              </w:rPr>
              <w:t xml:space="preserve">0.5</w:t>
            </w:r>
            <w:r>
              <w:rPr>
                <w:rFonts w:hint="eastAsia" w:asciiTheme="minorEastAsia" w:hAnsiTheme="minorEastAsia" w:eastAsiaTheme="minorEastAsia" w:cstheme="minorEastAsia"/>
                <w:b/>
                <w:bCs/>
                <w:sz w:val="24"/>
                <w:szCs w:val="24"/>
              </w:rPr>
              <w:t xml:space="preserve">分；</w:t>
            </w:r>
            <w:r/>
          </w:p>
          <w:p>
            <w:pPr>
              <w:spacing w:line="360" w:lineRule="auto"/>
              <w:widowControl/>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val="0"/>
                <w:bCs w:val="0"/>
                <w:sz w:val="24"/>
                <w:szCs w:val="24"/>
                <w:lang w:val="en-US" w:eastAsia="zh-CN"/>
              </w:rPr>
              <w:t xml:space="preserve">4、投标人通过信息安全管理体系认证的，</w:t>
            </w:r>
            <w:r>
              <w:rPr>
                <w:rFonts w:hint="eastAsia" w:asciiTheme="minorEastAsia" w:hAnsiTheme="minorEastAsia" w:eastAsiaTheme="minorEastAsia" w:cstheme="minorEastAsia"/>
                <w:b/>
                <w:bCs/>
                <w:sz w:val="24"/>
                <w:szCs w:val="24"/>
                <w:lang w:val="en-US" w:eastAsia="zh-CN"/>
              </w:rPr>
              <w:t xml:space="preserve">得0.5分；</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每有一</w:t>
            </w:r>
            <w:r>
              <w:rPr>
                <w:rFonts w:hint="eastAsia" w:ascii="宋体" w:hAnsi="宋体" w:cs="宋体"/>
                <w:color w:val="auto"/>
                <w:sz w:val="24"/>
                <w:szCs w:val="24"/>
                <w:lang w:val="en-US" w:eastAsia="zh-CN"/>
              </w:rPr>
              <w:t xml:space="preserve">项</w:t>
            </w:r>
            <w:r>
              <w:rPr>
                <w:rFonts w:hint="eastAsia" w:ascii="宋体" w:hAnsi="宋体" w:eastAsia="宋体" w:cs="宋体"/>
                <w:color w:val="auto"/>
                <w:sz w:val="24"/>
                <w:szCs w:val="24"/>
              </w:rPr>
              <w:t xml:space="preserve">得</w:t>
            </w:r>
            <w:r>
              <w:rPr>
                <w:rFonts w:hint="eastAsia" w:ascii="宋体" w:hAnsi="宋体" w:cs="宋体"/>
                <w:color w:val="auto"/>
                <w:sz w:val="24"/>
                <w:szCs w:val="24"/>
                <w:lang w:val="en-US" w:eastAsia="zh-CN"/>
              </w:rPr>
              <w:t xml:space="preserve">0.5</w:t>
            </w:r>
            <w:r>
              <w:rPr>
                <w:rFonts w:hint="eastAsia" w:ascii="宋体" w:hAnsi="宋体" w:eastAsia="宋体" w:cs="宋体"/>
                <w:color w:val="auto"/>
                <w:sz w:val="24"/>
                <w:szCs w:val="24"/>
              </w:rPr>
              <w:t xml:space="preserve">分，最多得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w:t>
            </w:r>
            <w:r/>
          </w:p>
          <w:p>
            <w:pPr>
              <w:spacing w:line="360" w:lineRule="auto"/>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注：</w:t>
            </w:r>
            <w:r>
              <w:rPr>
                <w:rFonts w:hint="eastAsia" w:asciiTheme="minorEastAsia" w:hAnsiTheme="minorEastAsia" w:eastAsiaTheme="minorEastAsia" w:cstheme="minorEastAsia"/>
                <w:b/>
                <w:bCs/>
                <w:sz w:val="24"/>
                <w:szCs w:val="24"/>
              </w:rPr>
              <w:t xml:space="preserve">提供相关证书全国认证认可信息公共服务平台官网认证信息查询截图和证书扫描件或复印件并加盖公章，</w:t>
            </w:r>
            <w:r>
              <w:rPr>
                <w:rFonts w:hint="eastAsia" w:asciiTheme="minorEastAsia" w:hAnsiTheme="minorEastAsia" w:eastAsiaTheme="minorEastAsia" w:cstheme="minorEastAsia"/>
                <w:b/>
                <w:bCs/>
                <w:sz w:val="24"/>
                <w:szCs w:val="24"/>
                <w:lang w:val="en-US" w:eastAsia="zh-CN"/>
              </w:rPr>
              <w:t xml:space="preserve">未提供</w:t>
            </w:r>
            <w:r>
              <w:rPr>
                <w:rFonts w:hint="eastAsia" w:asciiTheme="minorEastAsia" w:hAnsiTheme="minorEastAsia" w:eastAsiaTheme="minorEastAsia" w:cstheme="minorEastAsia"/>
                <w:b/>
                <w:bCs/>
                <w:sz w:val="24"/>
                <w:szCs w:val="24"/>
              </w:rPr>
              <w:t xml:space="preserve">不得分。</w:t>
            </w:r>
            <w:r/>
          </w:p>
        </w:tc>
      </w:tr>
      <w:tr>
        <w:trPr>
          <w:trHeight w:val="880"/>
        </w:trPr>
        <w:tc>
          <w:tcPr>
            <w:tcW w:w="1365" w:type="dxa"/>
            <w:vAlign w:val="center"/>
            <w:textDirection w:val="lrTb"/>
            <w:noWrap w:val="false"/>
          </w:tcPr>
          <w:p>
            <w:pPr>
              <w:pStyle w:val="760"/>
              <w:jc w:val="center"/>
              <w:spacing w:line="276" w:lineRule="auto"/>
              <w:tabs>
                <w:tab w:val="left" w:pos="720" w:leader="none"/>
              </w:tabs>
              <w:rPr>
                <w:rFonts w:hint="eastAsia" w:ascii="宋体" w:hAnsi="宋体" w:eastAsia="宋体" w:cs="宋体"/>
                <w:color w:val="auto"/>
                <w:sz w:val="24"/>
                <w:szCs w:val="24"/>
              </w:rPr>
            </w:pPr>
            <w:r>
              <w:rPr>
                <w:rFonts w:hint="eastAsia" w:ascii="Times New Roman" w:hAnsi="Times New Roman" w:cs="宋体"/>
                <w:bCs/>
                <w:color w:val="auto"/>
                <w:sz w:val="24"/>
                <w:szCs w:val="22"/>
              </w:rPr>
              <w:t xml:space="preserve">人员配置</w:t>
            </w:r>
            <w:r>
              <w:rPr>
                <w:rFonts w:hint="eastAsia" w:ascii="Times New Roman" w:hAnsi="Times New Roman" w:eastAsia="宋体" w:cs="宋体"/>
                <w:sz w:val="22"/>
                <w:szCs w:val="28"/>
              </w:rPr>
              <w:t xml:space="preserve">（</w:t>
            </w:r>
            <w:r>
              <w:rPr>
                <w:rFonts w:hint="eastAsia" w:ascii="Times New Roman" w:hAnsi="Times New Roman" w:cs="宋体"/>
                <w:sz w:val="22"/>
                <w:szCs w:val="28"/>
                <w:lang w:val="en-US" w:eastAsia="zh-CN"/>
              </w:rPr>
              <w:t xml:space="preserve">5</w:t>
            </w:r>
            <w:r>
              <w:rPr>
                <w:rFonts w:hint="eastAsia" w:ascii="Times New Roman" w:hAnsi="Times New Roman" w:eastAsia="宋体" w:cs="宋体"/>
                <w:sz w:val="22"/>
                <w:szCs w:val="28"/>
              </w:rPr>
              <w:t xml:space="preserve">分）</w:t>
            </w:r>
            <w:r/>
          </w:p>
        </w:tc>
        <w:tc>
          <w:tcPr>
            <w:tcW w:w="720" w:type="dxa"/>
            <w:vAlign w:val="center"/>
            <w:textDirection w:val="lrTb"/>
            <w:noWrap w:val="false"/>
          </w:tcPr>
          <w:p>
            <w:pPr>
              <w:pStyle w:val="760"/>
              <w:jc w:val="center"/>
              <w:spacing w:line="276" w:lineRule="auto"/>
              <w:tabs>
                <w:tab w:val="left" w:pos="720" w:leader="none"/>
              </w:tabs>
              <w:rPr>
                <w:rFonts w:hint="default" w:cs="宋体"/>
                <w:color w:val="auto"/>
                <w:sz w:val="24"/>
                <w:szCs w:val="24"/>
                <w:lang w:val="en-US" w:eastAsia="zh-CN"/>
              </w:rPr>
            </w:pPr>
            <w:r>
              <w:rPr>
                <w:rFonts w:hint="eastAsia" w:cs="宋体"/>
                <w:color w:val="auto"/>
                <w:sz w:val="24"/>
                <w:szCs w:val="24"/>
                <w:lang w:val="en-US" w:eastAsia="zh-CN"/>
              </w:rPr>
              <w:t xml:space="preserve">5</w:t>
            </w:r>
            <w:r/>
          </w:p>
        </w:tc>
        <w:tc>
          <w:tcPr>
            <w:tcW w:w="7553" w:type="dxa"/>
            <w:vAlign w:val="center"/>
            <w:textDirection w:val="lrTb"/>
            <w:noWrap w:val="false"/>
          </w:tcPr>
          <w:p>
            <w:pPr>
              <w:pStyle w:val="976"/>
              <w:numPr>
                <w:ilvl w:val="0"/>
                <w:numId w:val="0"/>
              </w:numPr>
              <w:jc w:val="left"/>
              <w:keepLines w:val="0"/>
              <w:keepNext w:val="0"/>
              <w:pageBreakBefore w:val="0"/>
              <w:spacing w:line="360" w:lineRule="auto"/>
              <w:widowControl w:val="off"/>
              <w:rPr>
                <w:rFonts w:hint="eastAsia" w:ascii="Times New Roman" w:hAnsi="Times New Roman" w:eastAsia="宋体" w:cs="宋体"/>
                <w:sz w:val="24"/>
                <w:szCs w:val="24"/>
                <w:lang w:eastAsia="zh-CN"/>
              </w:rPr>
            </w:pPr>
            <w:r>
              <w:rPr>
                <w:rFonts w:hint="eastAsia" w:ascii="Times New Roman" w:hAnsi="Times New Roman" w:eastAsia="宋体" w:cs="宋体"/>
                <w:sz w:val="24"/>
                <w:szCs w:val="24"/>
              </w:rPr>
              <w:t xml:space="preserve">为本项目配置的</w:t>
            </w:r>
            <w:r>
              <w:rPr>
                <w:rFonts w:hint="eastAsia" w:ascii="Times New Roman" w:hAnsi="Times New Roman" w:eastAsia="宋体" w:cs="宋体"/>
                <w:sz w:val="24"/>
                <w:szCs w:val="24"/>
                <w:lang w:val="en-US" w:eastAsia="zh-CN"/>
              </w:rPr>
              <w:t xml:space="preserve">团队成员中</w:t>
            </w:r>
            <w:r>
              <w:rPr>
                <w:rFonts w:hint="eastAsia" w:ascii="Times New Roman" w:hAnsi="Times New Roman" w:eastAsia="宋体" w:cs="宋体"/>
                <w:sz w:val="24"/>
                <w:szCs w:val="24"/>
              </w:rPr>
              <w:t xml:space="preserve">具有环境保护类专业正高级职称的，得</w:t>
            </w:r>
            <w:r>
              <w:rPr>
                <w:rFonts w:hint="eastAsia" w:ascii="Times New Roman" w:hAnsi="Times New Roman" w:cs="宋体"/>
                <w:sz w:val="24"/>
                <w:szCs w:val="24"/>
                <w:lang w:val="en-US" w:eastAsia="zh-CN"/>
              </w:rPr>
              <w:t xml:space="preserve">3</w:t>
            </w:r>
            <w:r>
              <w:rPr>
                <w:rFonts w:hint="eastAsia" w:ascii="Times New Roman" w:hAnsi="Times New Roman" w:eastAsia="宋体" w:cs="宋体"/>
                <w:sz w:val="24"/>
                <w:szCs w:val="24"/>
              </w:rPr>
              <w:t xml:space="preserve">分；具有环境保护类专业高级职称的，得</w:t>
            </w:r>
            <w:r>
              <w:rPr>
                <w:rFonts w:hint="eastAsia" w:ascii="Times New Roman" w:hAnsi="Times New Roman" w:cs="宋体"/>
                <w:sz w:val="24"/>
                <w:szCs w:val="24"/>
                <w:lang w:val="en-US" w:eastAsia="zh-CN"/>
              </w:rPr>
              <w:t xml:space="preserve">2</w:t>
            </w:r>
            <w:r>
              <w:rPr>
                <w:rFonts w:hint="eastAsia" w:ascii="Times New Roman" w:hAnsi="Times New Roman" w:eastAsia="宋体" w:cs="宋体"/>
                <w:sz w:val="24"/>
                <w:szCs w:val="24"/>
              </w:rPr>
              <w:t xml:space="preserve">分；具有环境保护类专业中级职称的，得1分；</w:t>
            </w:r>
            <w:r>
              <w:rPr>
                <w:rFonts w:hint="eastAsia" w:ascii="Times New Roman" w:hAnsi="Times New Roman" w:eastAsia="宋体" w:cs="宋体"/>
                <w:b/>
                <w:bCs/>
                <w:sz w:val="24"/>
                <w:szCs w:val="24"/>
              </w:rPr>
              <w:t xml:space="preserve">本项最高得</w:t>
            </w:r>
            <w:r>
              <w:rPr>
                <w:rFonts w:hint="eastAsia" w:ascii="Times New Roman" w:hAnsi="Times New Roman" w:cs="宋体"/>
                <w:b/>
                <w:bCs/>
                <w:sz w:val="24"/>
                <w:szCs w:val="24"/>
                <w:lang w:val="en-US" w:eastAsia="zh-CN"/>
              </w:rPr>
              <w:t xml:space="preserve">5</w:t>
            </w:r>
            <w:r>
              <w:rPr>
                <w:rFonts w:hint="eastAsia" w:ascii="Times New Roman" w:hAnsi="Times New Roman" w:eastAsia="宋体" w:cs="宋体"/>
                <w:b/>
                <w:bCs/>
                <w:sz w:val="24"/>
                <w:szCs w:val="24"/>
              </w:rPr>
              <w:t xml:space="preserve">分</w:t>
            </w:r>
            <w:r>
              <w:rPr>
                <w:rFonts w:hint="eastAsia" w:ascii="Times New Roman" w:hAnsi="Times New Roman" w:cs="宋体"/>
                <w:b/>
                <w:bCs/>
                <w:sz w:val="24"/>
                <w:szCs w:val="24"/>
                <w:lang w:eastAsia="zh-CN"/>
              </w:rPr>
              <w:t xml:space="preserve">。</w:t>
            </w:r>
            <w:r/>
          </w:p>
          <w:p>
            <w:pPr>
              <w:keepLines w:val="0"/>
              <w:keepNext w:val="0"/>
              <w:pageBreakBefore w:val="0"/>
              <w:spacing w:line="360" w:lineRule="auto"/>
              <w:widowControl w:val="off"/>
              <w:rPr>
                <w:rFonts w:hint="eastAsia" w:ascii="宋体" w:hAnsi="宋体" w:eastAsia="宋体" w:cs="宋体"/>
                <w:b/>
                <w:bCs/>
                <w:color w:val="auto"/>
                <w:sz w:val="24"/>
                <w:szCs w:val="24"/>
              </w:rPr>
            </w:pPr>
            <w:r>
              <w:rPr>
                <w:rFonts w:hint="eastAsia" w:ascii="Times New Roman" w:hAnsi="Times New Roman" w:eastAsia="宋体" w:cs="宋体"/>
                <w:b/>
                <w:bCs/>
                <w:sz w:val="24"/>
                <w:szCs w:val="24"/>
              </w:rPr>
              <w:t xml:space="preserve">注：提供有效证书扫描件或复印件</w:t>
            </w:r>
            <w:r>
              <w:rPr>
                <w:rFonts w:hint="eastAsia" w:ascii="Times New Roman" w:hAnsi="Times New Roman" w:cs="宋体"/>
                <w:b/>
                <w:bCs/>
                <w:sz w:val="24"/>
                <w:szCs w:val="24"/>
                <w:lang w:val="en-US" w:eastAsia="zh-CN"/>
              </w:rPr>
              <w:t xml:space="preserve">2026年3月</w:t>
            </w:r>
            <w:r>
              <w:rPr>
                <w:rFonts w:hint="eastAsia" w:ascii="Times New Roman" w:hAnsi="Times New Roman" w:eastAsia="宋体" w:cs="宋体"/>
                <w:b/>
                <w:bCs/>
                <w:sz w:val="24"/>
                <w:szCs w:val="24"/>
              </w:rPr>
              <w:t xml:space="preserve">以来任意一个月由供应商人为其缴纳的社保证明材料复印件或扫描件并加盖供应商公章，</w:t>
            </w:r>
            <w:r>
              <w:rPr>
                <w:rFonts w:hint="eastAsia" w:ascii="Times New Roman" w:hAnsi="Times New Roman" w:cs="宋体"/>
                <w:b/>
                <w:bCs/>
                <w:sz w:val="24"/>
                <w:szCs w:val="24"/>
                <w:lang w:val="en-US" w:eastAsia="zh-CN"/>
              </w:rPr>
              <w:t xml:space="preserve">未提供</w:t>
            </w:r>
            <w:r>
              <w:rPr>
                <w:rFonts w:hint="eastAsia" w:ascii="Times New Roman" w:hAnsi="Times New Roman" w:eastAsia="宋体" w:cs="宋体"/>
                <w:b/>
                <w:bCs/>
                <w:sz w:val="24"/>
                <w:szCs w:val="24"/>
              </w:rPr>
              <w:t xml:space="preserve">不得分。</w:t>
            </w:r>
            <w:r/>
          </w:p>
        </w:tc>
      </w:tr>
      <w:tr>
        <w:trPr>
          <w:trHeight w:val="880"/>
        </w:trPr>
        <w:tc>
          <w:tcPr>
            <w:tcW w:w="1365" w:type="dxa"/>
            <w:vAlign w:val="center"/>
            <w:textDirection w:val="lrTb"/>
            <w:noWrap w:val="false"/>
          </w:tcPr>
          <w:p>
            <w:pPr>
              <w:pStyle w:val="760"/>
              <w:jc w:val="center"/>
              <w:spacing w:line="276" w:lineRule="auto"/>
              <w:tabs>
                <w:tab w:val="left" w:pos="72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投标人类似业绩</w:t>
            </w:r>
            <w:r/>
          </w:p>
          <w:p>
            <w:pPr>
              <w:pStyle w:val="760"/>
              <w:jc w:val="center"/>
              <w:spacing w:line="276" w:lineRule="auto"/>
              <w:tabs>
                <w:tab w:val="left" w:pos="72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cs="宋体"/>
                <w:color w:val="auto"/>
                <w:sz w:val="24"/>
                <w:szCs w:val="24"/>
                <w:lang w:val="en-US" w:eastAsia="zh-CN"/>
              </w:rPr>
              <w:t xml:space="preserve">3</w:t>
            </w:r>
            <w:r>
              <w:rPr>
                <w:rFonts w:hint="eastAsia" w:ascii="宋体" w:hAnsi="宋体" w:eastAsia="宋体" w:cs="宋体"/>
                <w:color w:val="auto"/>
                <w:sz w:val="24"/>
                <w:szCs w:val="24"/>
              </w:rPr>
              <w:t xml:space="preserve">分）</w:t>
            </w:r>
            <w:r/>
          </w:p>
        </w:tc>
        <w:tc>
          <w:tcPr>
            <w:tcW w:w="720" w:type="dxa"/>
            <w:vAlign w:val="center"/>
            <w:textDirection w:val="lrTb"/>
            <w:noWrap w:val="false"/>
          </w:tcPr>
          <w:p>
            <w:pPr>
              <w:pStyle w:val="760"/>
              <w:jc w:val="center"/>
              <w:spacing w:line="276" w:lineRule="auto"/>
              <w:tabs>
                <w:tab w:val="left" w:pos="720" w:leader="none"/>
              </w:tabs>
              <w:rPr>
                <w:rFonts w:hint="default" w:ascii="宋体" w:hAnsi="宋体" w:eastAsia="宋体" w:cs="宋体"/>
                <w:color w:val="auto"/>
                <w:sz w:val="24"/>
                <w:szCs w:val="24"/>
                <w:lang w:val="en-US" w:eastAsia="zh-CN"/>
              </w:rPr>
            </w:pPr>
            <w:r>
              <w:rPr>
                <w:rFonts w:hint="eastAsia" w:cs="宋体"/>
                <w:color w:val="auto"/>
                <w:sz w:val="24"/>
                <w:szCs w:val="24"/>
                <w:lang w:val="en-US" w:eastAsia="zh-CN"/>
              </w:rPr>
              <w:t xml:space="preserve">3</w:t>
            </w:r>
            <w:r/>
          </w:p>
        </w:tc>
        <w:tc>
          <w:tcPr>
            <w:tcW w:w="7553" w:type="dxa"/>
            <w:vAlign w:val="center"/>
            <w:textDirection w:val="lrTb"/>
            <w:noWrap w:val="false"/>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投标人自2023年1月1日（以合同签订时间为准）以来，承担过类似设备销售项目业绩的，每有一</w:t>
            </w:r>
            <w:r>
              <w:rPr>
                <w:rFonts w:hint="eastAsia" w:ascii="宋体" w:hAnsi="宋体" w:cs="宋体"/>
                <w:color w:val="auto"/>
                <w:sz w:val="24"/>
                <w:szCs w:val="24"/>
                <w:lang w:val="en-US" w:eastAsia="zh-CN"/>
              </w:rPr>
              <w:t xml:space="preserve">个</w:t>
            </w:r>
            <w:r>
              <w:rPr>
                <w:rFonts w:hint="eastAsia" w:ascii="宋体" w:hAnsi="宋体" w:eastAsia="宋体" w:cs="宋体"/>
                <w:color w:val="auto"/>
                <w:sz w:val="24"/>
                <w:szCs w:val="24"/>
              </w:rPr>
              <w:t xml:space="preserve">得</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分，最多得</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w:t>
            </w:r>
            <w:r/>
          </w:p>
          <w:p>
            <w:pPr>
              <w:spacing w:line="360" w:lineRule="auto"/>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注:业绩证明材料需提供中标通知书和合同复印件，且业绩证明合同内容、标的清晰可见，未提供或提供不全的不得分。</w:t>
            </w:r>
            <w:r/>
          </w:p>
        </w:tc>
      </w:tr>
    </w:tbl>
    <w:p>
      <w:pPr>
        <w:jc w:val="left"/>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3</w:t>
      </w:r>
      <w:r>
        <w:rPr>
          <w:rFonts w:hint="eastAsia" w:ascii="宋体" w:hAnsi="宋体" w:eastAsia="宋体" w:cs="宋体"/>
          <w:b/>
          <w:color w:val="auto"/>
          <w:sz w:val="24"/>
          <w:szCs w:val="24"/>
          <w:lang w:val="en-US" w:eastAsia="zh-CN"/>
        </w:rPr>
        <w:t xml:space="preserve">技术</w:t>
      </w:r>
      <w:r>
        <w:rPr>
          <w:rFonts w:hint="eastAsia" w:ascii="宋体" w:hAnsi="宋体" w:eastAsia="宋体" w:cs="宋体"/>
          <w:b/>
          <w:color w:val="auto"/>
          <w:sz w:val="24"/>
          <w:szCs w:val="24"/>
        </w:rPr>
        <w:t xml:space="preserve">部分（</w:t>
      </w:r>
      <w:r>
        <w:rPr>
          <w:rFonts w:hint="eastAsia" w:ascii="宋体" w:hAnsi="宋体" w:cs="宋体"/>
          <w:b/>
          <w:color w:val="auto"/>
          <w:sz w:val="24"/>
          <w:szCs w:val="24"/>
          <w:lang w:val="en-US" w:eastAsia="zh-CN"/>
        </w:rPr>
        <w:t xml:space="preserve">35</w:t>
      </w:r>
      <w:r>
        <w:rPr>
          <w:rFonts w:hint="eastAsia" w:ascii="宋体" w:hAnsi="宋体" w:eastAsia="宋体" w:cs="宋体"/>
          <w:b/>
          <w:color w:val="auto"/>
          <w:sz w:val="24"/>
          <w:szCs w:val="24"/>
        </w:rPr>
        <w:t xml:space="preserve">分）</w:t>
      </w:r>
      <w:r/>
    </w:p>
    <w:tbl>
      <w:tblPr>
        <w:tblStyle w:val="767"/>
        <w:tblW w:w="0" w:type="auto"/>
        <w:tblInd w:w="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52"/>
        <w:gridCol w:w="744"/>
        <w:gridCol w:w="7199"/>
      </w:tblGrid>
      <w:tr>
        <w:trPr>
          <w:trHeight w:val="659"/>
        </w:trPr>
        <w:tc>
          <w:tcPr>
            <w:tcW w:w="1652" w:type="dxa"/>
            <w:vAlign w:val="center"/>
            <w:textDirection w:val="lrTb"/>
            <w:noWrap w:val="false"/>
          </w:tcPr>
          <w:p>
            <w:pPr>
              <w:pStyle w:val="760"/>
              <w:jc w:val="center"/>
              <w:tabs>
                <w:tab w:val="left" w:pos="72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评审内容</w:t>
            </w:r>
            <w:r/>
          </w:p>
        </w:tc>
        <w:tc>
          <w:tcPr>
            <w:tcW w:w="744" w:type="dxa"/>
            <w:vAlign w:val="center"/>
            <w:textDirection w:val="lrTb"/>
            <w:noWrap w:val="false"/>
          </w:tcPr>
          <w:p>
            <w:pPr>
              <w:pStyle w:val="760"/>
              <w:jc w:val="center"/>
              <w:tabs>
                <w:tab w:val="left" w:pos="72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分值</w:t>
            </w:r>
            <w:r/>
          </w:p>
        </w:tc>
        <w:tc>
          <w:tcPr>
            <w:tcW w:w="7199" w:type="dxa"/>
            <w:vAlign w:val="center"/>
            <w:textDirection w:val="lrTb"/>
            <w:noWrap w:val="false"/>
          </w:tcPr>
          <w:p>
            <w:pPr>
              <w:pStyle w:val="760"/>
              <w:jc w:val="center"/>
              <w:tabs>
                <w:tab w:val="left" w:pos="72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评分标准</w:t>
            </w:r>
            <w:r/>
          </w:p>
        </w:tc>
      </w:tr>
      <w:tr>
        <w:trPr/>
        <w:tc>
          <w:tcPr>
            <w:tcW w:w="1652" w:type="dxa"/>
            <w:vAlign w:val="center"/>
            <w:textDirection w:val="lrTb"/>
            <w:noWrap w:val="false"/>
          </w:tcPr>
          <w:p>
            <w:pPr>
              <w:pStyle w:val="760"/>
              <w:jc w:val="center"/>
              <w:spacing w:line="276" w:lineRule="auto"/>
              <w:tabs>
                <w:tab w:val="left" w:pos="72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项目实施方案</w:t>
            </w:r>
            <w:r/>
          </w:p>
          <w:p>
            <w:pPr>
              <w:pStyle w:val="760"/>
              <w:jc w:val="center"/>
              <w:spacing w:line="276" w:lineRule="auto"/>
              <w:tabs>
                <w:tab w:val="left" w:pos="72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cs="宋体"/>
                <w:color w:val="auto"/>
                <w:sz w:val="24"/>
                <w:szCs w:val="24"/>
                <w:lang w:val="en-US" w:eastAsia="zh-CN"/>
              </w:rPr>
              <w:t xml:space="preserve">9</w:t>
            </w:r>
            <w:r>
              <w:rPr>
                <w:rFonts w:hint="eastAsia" w:ascii="宋体" w:hAnsi="宋体" w:eastAsia="宋体" w:cs="宋体"/>
                <w:color w:val="auto"/>
                <w:sz w:val="24"/>
                <w:szCs w:val="24"/>
              </w:rPr>
              <w:t xml:space="preserve">分）</w:t>
            </w:r>
            <w:r/>
          </w:p>
        </w:tc>
        <w:tc>
          <w:tcPr>
            <w:tcW w:w="744" w:type="dxa"/>
            <w:vAlign w:val="center"/>
            <w:textDirection w:val="lrTb"/>
            <w:noWrap w:val="false"/>
          </w:tcPr>
          <w:p>
            <w:pPr>
              <w:pStyle w:val="760"/>
              <w:jc w:val="center"/>
              <w:spacing w:line="276" w:lineRule="auto"/>
              <w:tabs>
                <w:tab w:val="left" w:pos="720" w:leader="none"/>
              </w:tabs>
              <w:rPr>
                <w:rFonts w:hint="eastAsia" w:ascii="宋体" w:hAnsi="宋体" w:eastAsia="宋体" w:cs="宋体"/>
                <w:color w:val="auto"/>
                <w:sz w:val="24"/>
                <w:szCs w:val="24"/>
                <w:lang w:val="en-US" w:eastAsia="zh-CN"/>
              </w:rPr>
            </w:pPr>
            <w:r>
              <w:rPr>
                <w:rFonts w:hint="eastAsia" w:cs="宋体"/>
                <w:color w:val="auto"/>
                <w:sz w:val="24"/>
                <w:szCs w:val="24"/>
                <w:lang w:val="en-US" w:eastAsia="zh-CN"/>
              </w:rPr>
              <w:t xml:space="preserve">9</w:t>
            </w:r>
            <w:r/>
          </w:p>
        </w:tc>
        <w:tc>
          <w:tcPr>
            <w:tcW w:w="7199" w:type="dxa"/>
            <w:vAlign w:val="center"/>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投标人提供项目实施方案（包括不限于项目实施计划、设备安装、调试、验收方案），评标委员会对方案响应情况进行横向评审。</w:t>
            </w:r>
            <w:r/>
          </w:p>
          <w:p>
            <w:pPr>
              <w:spacing w:line="360" w:lineRule="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方案内容全面、科学合理、可行性强的，</w:t>
            </w:r>
            <w:r>
              <w:rPr>
                <w:rFonts w:hint="eastAsia" w:asciiTheme="minorEastAsia" w:hAnsiTheme="minorEastAsia" w:eastAsiaTheme="minorEastAsia" w:cstheme="minorEastAsia"/>
                <w:b/>
                <w:bCs/>
                <w:sz w:val="24"/>
                <w:szCs w:val="24"/>
              </w:rPr>
              <w:t xml:space="preserve">得</w:t>
            </w:r>
            <w:r>
              <w:rPr>
                <w:rFonts w:hint="eastAsia" w:asciiTheme="minorEastAsia" w:hAnsiTheme="minorEastAsia" w:eastAsiaTheme="minorEastAsia" w:cstheme="minorEastAsia"/>
                <w:b/>
                <w:bCs/>
                <w:sz w:val="24"/>
                <w:szCs w:val="24"/>
                <w:lang w:val="en-US" w:eastAsia="zh-CN"/>
              </w:rPr>
              <w:t xml:space="preserve">9</w:t>
            </w:r>
            <w:r>
              <w:rPr>
                <w:rFonts w:hint="eastAsia" w:asciiTheme="minorEastAsia" w:hAnsiTheme="minorEastAsia" w:eastAsiaTheme="minorEastAsia" w:cstheme="minorEastAsia"/>
                <w:b/>
                <w:bCs/>
                <w:sz w:val="24"/>
                <w:szCs w:val="24"/>
              </w:rPr>
              <w:t xml:space="preserve">分</w:t>
            </w:r>
            <w:r>
              <w:rPr>
                <w:rFonts w:hint="eastAsia" w:asciiTheme="minorEastAsia" w:hAnsiTheme="minorEastAsia" w:eastAsiaTheme="minorEastAsia" w:cstheme="minorEastAsia"/>
                <w:b/>
                <w:bCs/>
                <w:sz w:val="24"/>
                <w:szCs w:val="24"/>
                <w:lang w:eastAsia="zh-CN"/>
              </w:rPr>
              <w:t xml:space="preserve">；</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方案内容较全面、较为科学合理、可行性较强的，</w:t>
            </w:r>
            <w:r>
              <w:rPr>
                <w:rFonts w:hint="eastAsia" w:asciiTheme="minorEastAsia" w:hAnsiTheme="minorEastAsia" w:eastAsiaTheme="minorEastAsia" w:cstheme="minorEastAsia"/>
                <w:b/>
                <w:bCs/>
                <w:sz w:val="24"/>
                <w:szCs w:val="24"/>
              </w:rPr>
              <w:t xml:space="preserve">得</w:t>
            </w:r>
            <w:r>
              <w:rPr>
                <w:rFonts w:hint="eastAsia" w:asciiTheme="minorEastAsia" w:hAnsiTheme="minorEastAsia" w:eastAsiaTheme="minorEastAsia" w:cstheme="minorEastAsia"/>
                <w:b/>
                <w:bCs/>
                <w:sz w:val="24"/>
                <w:szCs w:val="24"/>
                <w:lang w:val="en-US" w:eastAsia="zh-CN"/>
              </w:rPr>
              <w:t xml:space="preserve">6</w:t>
            </w:r>
            <w:r>
              <w:rPr>
                <w:rFonts w:hint="eastAsia" w:asciiTheme="minorEastAsia" w:hAnsiTheme="minorEastAsia" w:eastAsiaTheme="minorEastAsia" w:cstheme="minorEastAsia"/>
                <w:b/>
                <w:bCs/>
                <w:sz w:val="24"/>
                <w:szCs w:val="24"/>
              </w:rPr>
              <w:t xml:space="preserve">分</w:t>
            </w:r>
            <w:r>
              <w:rPr>
                <w:rFonts w:hint="eastAsia" w:asciiTheme="minorEastAsia" w:hAnsiTheme="minorEastAsia" w:eastAsiaTheme="minorEastAsia" w:cstheme="minorEastAsia"/>
                <w:sz w:val="24"/>
                <w:szCs w:val="24"/>
              </w:rPr>
              <w:t xml:space="preserve">；</w:t>
            </w:r>
            <w:r/>
          </w:p>
          <w:p>
            <w:pP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sz w:val="24"/>
                <w:szCs w:val="24"/>
              </w:rPr>
              <w:t xml:space="preserve">方案内容基本全面、基本科学合理、基本可行的，</w:t>
            </w:r>
            <w:r>
              <w:rPr>
                <w:rFonts w:hint="eastAsia" w:asciiTheme="minorEastAsia" w:hAnsiTheme="minorEastAsia" w:eastAsiaTheme="minorEastAsia" w:cstheme="minorEastAsia"/>
                <w:b/>
                <w:bCs/>
                <w:sz w:val="24"/>
                <w:szCs w:val="24"/>
              </w:rPr>
              <w:t xml:space="preserve">得</w:t>
            </w:r>
            <w:r>
              <w:rPr>
                <w:rFonts w:hint="eastAsia" w:asciiTheme="minorEastAsia" w:hAnsiTheme="minorEastAsia" w:eastAsiaTheme="minorEastAsia" w:cstheme="minorEastAsia"/>
                <w:b/>
                <w:bCs/>
                <w:sz w:val="24"/>
                <w:szCs w:val="24"/>
                <w:lang w:val="en-US" w:eastAsia="zh-CN"/>
              </w:rPr>
              <w:t xml:space="preserve">3</w:t>
            </w:r>
            <w:r>
              <w:rPr>
                <w:rFonts w:hint="eastAsia" w:asciiTheme="minorEastAsia" w:hAnsiTheme="minorEastAsia" w:eastAsiaTheme="minorEastAsia" w:cstheme="minorEastAsia"/>
                <w:b/>
                <w:bCs/>
                <w:sz w:val="24"/>
                <w:szCs w:val="24"/>
              </w:rPr>
              <w:t xml:space="preserve">分；</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方案内容有缺项、遗漏、不完整的，</w:t>
            </w:r>
            <w:r>
              <w:rPr>
                <w:rFonts w:hint="eastAsia" w:asciiTheme="minorEastAsia" w:hAnsiTheme="minorEastAsia" w:eastAsiaTheme="minorEastAsia" w:cstheme="minorEastAsia"/>
                <w:b/>
                <w:bCs/>
                <w:sz w:val="24"/>
                <w:szCs w:val="24"/>
              </w:rPr>
              <w:t xml:space="preserve">得1分；</w:t>
            </w:r>
            <w:r/>
          </w:p>
          <w:p>
            <w:pPr>
              <w:jc w:val="left"/>
              <w:spacing w:line="276" w:lineRule="auto"/>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本项未见阐述，不得分。</w:t>
            </w:r>
            <w:r/>
          </w:p>
        </w:tc>
      </w:tr>
      <w:tr>
        <w:trPr/>
        <w:tc>
          <w:tcPr>
            <w:tcW w:w="1652" w:type="dxa"/>
            <w:vAlign w:val="center"/>
            <w:textDirection w:val="lrTb"/>
            <w:noWrap w:val="false"/>
          </w:tcPr>
          <w:p>
            <w:pPr>
              <w:pStyle w:val="760"/>
              <w:jc w:val="center"/>
              <w:spacing w:line="276" w:lineRule="auto"/>
              <w:tabs>
                <w:tab w:val="left" w:pos="72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“黑灯”实验室系统设计方案</w:t>
            </w:r>
            <w:r/>
          </w:p>
          <w:p>
            <w:pPr>
              <w:pStyle w:val="760"/>
              <w:jc w:val="center"/>
              <w:spacing w:line="276" w:lineRule="auto"/>
              <w:tabs>
                <w:tab w:val="left" w:pos="720" w:leader="none"/>
              </w:tabs>
              <w:rPr>
                <w:color w:val="auto"/>
                <w:sz w:val="24"/>
                <w:szCs w:val="24"/>
              </w:rPr>
            </w:pPr>
            <w:r>
              <w:rPr>
                <w:rFonts w:hint="eastAsia" w:ascii="Times New Roman" w:hAnsi="Times New Roman" w:cs="Times New Roman"/>
                <w:color w:val="auto"/>
                <w:sz w:val="24"/>
                <w:szCs w:val="24"/>
              </w:rPr>
              <w:t xml:space="preserve">（</w:t>
            </w:r>
            <w:r>
              <w:rPr>
                <w:rFonts w:hint="eastAsia" w:ascii="Times New Roman" w:hAnsi="Times New Roman" w:cs="Times New Roman"/>
                <w:color w:val="auto"/>
                <w:sz w:val="24"/>
                <w:szCs w:val="24"/>
                <w:lang w:val="en-US" w:eastAsia="zh-CN"/>
              </w:rPr>
              <w:t xml:space="preserve">14</w:t>
            </w:r>
            <w:r>
              <w:rPr>
                <w:rFonts w:hint="eastAsia" w:ascii="宋体" w:hAnsi="宋体" w:eastAsia="宋体" w:cs="宋体"/>
                <w:color w:val="auto"/>
                <w:sz w:val="24"/>
                <w:szCs w:val="24"/>
              </w:rPr>
              <w:t xml:space="preserve">分</w:t>
            </w:r>
            <w:r>
              <w:rPr>
                <w:rFonts w:hint="eastAsia" w:ascii="Times New Roman" w:hAnsi="Times New Roman" w:cs="Times New Roman"/>
                <w:color w:val="auto"/>
                <w:sz w:val="24"/>
                <w:szCs w:val="24"/>
              </w:rPr>
              <w:t xml:space="preserve">）</w:t>
            </w:r>
            <w:r/>
          </w:p>
        </w:tc>
        <w:tc>
          <w:tcPr>
            <w:tcW w:w="744" w:type="dxa"/>
            <w:vAlign w:val="center"/>
            <w:textDirection w:val="lrTb"/>
            <w:noWrap w:val="false"/>
          </w:tcPr>
          <w:p>
            <w:pPr>
              <w:pStyle w:val="760"/>
              <w:jc w:val="center"/>
              <w:spacing w:line="276" w:lineRule="auto"/>
              <w:tabs>
                <w:tab w:val="left" w:pos="720" w:leader="none"/>
              </w:tabs>
              <w:rPr>
                <w:rFonts w:hint="default" w:eastAsia="宋体"/>
                <w:color w:val="auto"/>
                <w:sz w:val="24"/>
                <w:szCs w:val="24"/>
                <w:lang w:val="en-US" w:eastAsia="zh-CN"/>
              </w:rPr>
            </w:pPr>
            <w:r>
              <w:rPr>
                <w:rFonts w:hint="eastAsia"/>
                <w:color w:val="auto"/>
                <w:sz w:val="24"/>
                <w:szCs w:val="24"/>
                <w:lang w:val="en-US" w:eastAsia="zh-CN"/>
              </w:rPr>
              <w:t xml:space="preserve">14</w:t>
            </w:r>
            <w:r/>
          </w:p>
        </w:tc>
        <w:tc>
          <w:tcPr>
            <w:tcW w:w="7199" w:type="dxa"/>
            <w:vAlign w:val="center"/>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投标人对“黑灯”实验室系统的方案设计合理性和可行性</w:t>
            </w:r>
            <w:r>
              <w:rPr>
                <w:rFonts w:hint="eastAsia" w:asciiTheme="minorEastAsia" w:hAnsiTheme="minorEastAsia" w:eastAsiaTheme="minorEastAsia" w:cstheme="minorEastAsia"/>
                <w:sz w:val="24"/>
                <w:szCs w:val="24"/>
                <w:lang w:val="en-US" w:eastAsia="zh-CN"/>
              </w:rPr>
              <w:t xml:space="preserve">及整体美观进行评审</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val="en-US" w:eastAsia="zh-CN"/>
              </w:rPr>
              <w:t xml:space="preserve">方案要根据采购人现场情况来设计。评审点包括但不限于采购人现状勘察情况、整体布局设计、辅助设施及环境保障情况、</w:t>
            </w:r>
            <w:r>
              <w:rPr>
                <w:rFonts w:hint="eastAsia" w:asciiTheme="minorEastAsia" w:hAnsiTheme="minorEastAsia" w:eastAsiaTheme="minorEastAsia" w:cstheme="minorEastAsia"/>
                <w:sz w:val="24"/>
                <w:szCs w:val="24"/>
              </w:rPr>
              <w:t xml:space="preserve">设备软硬件端口开放情况、不主动对后续其他厂商的软硬件接入实施限制</w:t>
            </w:r>
            <w:r>
              <w:rPr>
                <w:rFonts w:hint="eastAsia" w:asciiTheme="minorEastAsia" w:hAnsiTheme="minorEastAsia" w:eastAsiaTheme="minorEastAsia" w:cstheme="minorEastAsia"/>
                <w:sz w:val="24"/>
                <w:szCs w:val="24"/>
                <w:lang w:val="en-US" w:eastAsia="zh-CN"/>
              </w:rPr>
              <w:t xml:space="preserve">等</w:t>
            </w:r>
            <w:r>
              <w:rPr>
                <w:rFonts w:hint="eastAsia" w:asciiTheme="minorEastAsia" w:hAnsiTheme="minorEastAsia" w:eastAsiaTheme="minorEastAsia" w:cstheme="minorEastAsia"/>
                <w:sz w:val="24"/>
                <w:szCs w:val="24"/>
              </w:rPr>
              <w:t xml:space="preserve">。</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系统方案设计合理、可行性高</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lang w:val="en-US" w:eastAsia="zh-CN"/>
              </w:rPr>
              <w:t xml:space="preserve">整体美观度高</w:t>
            </w:r>
            <w:r>
              <w:rPr>
                <w:rFonts w:hint="eastAsia" w:asciiTheme="minorEastAsia" w:hAnsiTheme="minorEastAsia" w:eastAsiaTheme="minorEastAsia" w:cstheme="minorEastAsia"/>
                <w:sz w:val="24"/>
                <w:szCs w:val="24"/>
              </w:rPr>
              <w:t xml:space="preserve">，系统端口完全开放，对拟接入设备无单方面限制要求的，</w:t>
            </w:r>
            <w:r>
              <w:rPr>
                <w:rFonts w:hint="eastAsia" w:asciiTheme="minorEastAsia" w:hAnsiTheme="minorEastAsia" w:eastAsiaTheme="minorEastAsia" w:cstheme="minorEastAsia"/>
                <w:b/>
                <w:bCs/>
                <w:sz w:val="24"/>
                <w:szCs w:val="24"/>
              </w:rPr>
              <w:t xml:space="preserve">得1</w:t>
            </w:r>
            <w:r>
              <w:rPr>
                <w:rFonts w:hint="eastAsia" w:asciiTheme="minorEastAsia" w:hAnsiTheme="minorEastAsia" w:eastAsiaTheme="minorEastAsia" w:cstheme="minorEastAsia"/>
                <w:b/>
                <w:bCs/>
                <w:sz w:val="24"/>
                <w:szCs w:val="24"/>
                <w:lang w:val="en-US" w:eastAsia="zh-CN"/>
              </w:rPr>
              <w:t xml:space="preserve">4</w:t>
            </w:r>
            <w:r>
              <w:rPr>
                <w:rFonts w:hint="eastAsia" w:asciiTheme="minorEastAsia" w:hAnsiTheme="minorEastAsia" w:eastAsiaTheme="minorEastAsia" w:cstheme="minorEastAsia"/>
                <w:b/>
                <w:bCs/>
                <w:sz w:val="24"/>
                <w:szCs w:val="24"/>
              </w:rPr>
              <w:t xml:space="preserve">分；</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系统方案设计较合理、可行性较高</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lang w:val="en-US" w:eastAsia="zh-CN"/>
              </w:rPr>
              <w:t xml:space="preserve">整体美观度较高</w:t>
            </w:r>
            <w:r>
              <w:rPr>
                <w:rFonts w:hint="eastAsia" w:asciiTheme="minorEastAsia" w:hAnsiTheme="minorEastAsia" w:eastAsiaTheme="minorEastAsia" w:cstheme="minorEastAsia"/>
                <w:sz w:val="24"/>
                <w:szCs w:val="24"/>
              </w:rPr>
              <w:t xml:space="preserve">，分析仪器系统端口部分开放，对拟接入设备存在一定要求，通过系统升级改造等办法可实现接入的，</w:t>
            </w:r>
            <w:r>
              <w:rPr>
                <w:rFonts w:hint="eastAsia" w:asciiTheme="minorEastAsia" w:hAnsiTheme="minorEastAsia" w:eastAsiaTheme="minorEastAsia" w:cstheme="minorEastAsia"/>
                <w:b/>
                <w:bCs/>
                <w:sz w:val="24"/>
                <w:szCs w:val="24"/>
              </w:rPr>
              <w:t xml:space="preserve">得</w:t>
            </w:r>
            <w:r>
              <w:rPr>
                <w:rFonts w:hint="eastAsia" w:asciiTheme="minorEastAsia" w:hAnsiTheme="minorEastAsia" w:eastAsiaTheme="minorEastAsia" w:cstheme="minorEastAsia"/>
                <w:b/>
                <w:bCs/>
                <w:sz w:val="24"/>
                <w:szCs w:val="24"/>
                <w:lang w:val="en-US" w:eastAsia="zh-CN"/>
              </w:rPr>
              <w:t xml:space="preserve">10</w:t>
            </w:r>
            <w:r>
              <w:rPr>
                <w:rFonts w:hint="eastAsia" w:asciiTheme="minorEastAsia" w:hAnsiTheme="minorEastAsia" w:eastAsiaTheme="minorEastAsia" w:cstheme="minorEastAsia"/>
                <w:b/>
                <w:bCs/>
                <w:sz w:val="24"/>
                <w:szCs w:val="24"/>
              </w:rPr>
              <w:t xml:space="preserve">分；</w:t>
            </w:r>
            <w:r>
              <w:rPr>
                <w:rFonts w:hint="eastAsia" w:asciiTheme="minorEastAsia" w:hAnsiTheme="minorEastAsia" w:eastAsiaTheme="minorEastAsia" w:cstheme="minorEastAsia"/>
                <w:sz w:val="24"/>
                <w:szCs w:val="24"/>
              </w:rPr>
              <w:t xml:space="preserve"> </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接入系统方案设计合理性及可行性</w:t>
            </w:r>
            <w:r>
              <w:rPr>
                <w:rFonts w:hint="eastAsia" w:asciiTheme="minorEastAsia" w:hAnsiTheme="minorEastAsia" w:eastAsiaTheme="minorEastAsia" w:cstheme="minorEastAsia"/>
                <w:sz w:val="24"/>
                <w:szCs w:val="24"/>
                <w:lang w:val="en-US" w:eastAsia="zh-CN"/>
              </w:rPr>
              <w:t xml:space="preserve">一般</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lang w:val="en-US" w:eastAsia="zh-CN"/>
              </w:rPr>
              <w:t xml:space="preserve">整体美观度一般</w:t>
            </w:r>
            <w:r>
              <w:rPr>
                <w:rFonts w:hint="eastAsia" w:asciiTheme="minorEastAsia" w:hAnsiTheme="minorEastAsia" w:eastAsiaTheme="minorEastAsia" w:cstheme="minorEastAsia"/>
                <w:sz w:val="24"/>
                <w:szCs w:val="24"/>
              </w:rPr>
              <w:t xml:space="preserve">，分析仪器系统端口封闭，对拟接入设备存在限制性要求，通过系统升级改造等办法较难实现接入的，</w:t>
            </w:r>
            <w:r>
              <w:rPr>
                <w:rFonts w:hint="eastAsia" w:asciiTheme="minorEastAsia" w:hAnsiTheme="minorEastAsia" w:eastAsiaTheme="minorEastAsia" w:cstheme="minorEastAsia"/>
                <w:b/>
                <w:bCs/>
                <w:sz w:val="24"/>
                <w:szCs w:val="24"/>
              </w:rPr>
              <w:t xml:space="preserve">得</w:t>
            </w:r>
            <w:r>
              <w:rPr>
                <w:rFonts w:hint="eastAsia" w:asciiTheme="minorEastAsia" w:hAnsiTheme="minorEastAsia" w:eastAsiaTheme="minorEastAsia" w:cstheme="minorEastAsia"/>
                <w:b/>
                <w:bCs/>
                <w:sz w:val="24"/>
                <w:szCs w:val="24"/>
                <w:lang w:val="en-US" w:eastAsia="zh-CN"/>
              </w:rPr>
              <w:t xml:space="preserve">6</w:t>
            </w:r>
            <w:r>
              <w:rPr>
                <w:rFonts w:hint="eastAsia" w:asciiTheme="minorEastAsia" w:hAnsiTheme="minorEastAsia" w:eastAsiaTheme="minorEastAsia" w:cstheme="minorEastAsia"/>
                <w:b/>
                <w:bCs/>
                <w:sz w:val="24"/>
                <w:szCs w:val="24"/>
              </w:rPr>
              <w:t xml:space="preserve">分； </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接入系统方案设计合理性及可行低</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lang w:val="en-US" w:eastAsia="zh-CN"/>
              </w:rPr>
              <w:t xml:space="preserve">整体美观度低</w:t>
            </w:r>
            <w:r>
              <w:rPr>
                <w:rFonts w:hint="eastAsia" w:asciiTheme="minorEastAsia" w:hAnsiTheme="minorEastAsia" w:eastAsiaTheme="minorEastAsia" w:cstheme="minorEastAsia"/>
                <w:sz w:val="24"/>
                <w:szCs w:val="24"/>
              </w:rPr>
              <w:t xml:space="preserve">，分析仪器系统端口完全封闭，通过软硬件改造仍极难实现接入需求的，</w:t>
            </w:r>
            <w:r>
              <w:rPr>
                <w:rFonts w:hint="eastAsia" w:asciiTheme="minorEastAsia" w:hAnsiTheme="minorEastAsia" w:eastAsiaTheme="minorEastAsia" w:cstheme="minorEastAsia"/>
                <w:b/>
                <w:bCs/>
                <w:sz w:val="24"/>
                <w:szCs w:val="24"/>
              </w:rPr>
              <w:t xml:space="preserve">得2</w:t>
            </w:r>
            <w:r>
              <w:rPr>
                <w:rFonts w:hint="eastAsia" w:asciiTheme="minorEastAsia" w:hAnsiTheme="minorEastAsia" w:eastAsiaTheme="minorEastAsia" w:cstheme="minorEastAsia"/>
                <w:b/>
                <w:bCs/>
                <w:sz w:val="24"/>
                <w:szCs w:val="24"/>
              </w:rPr>
              <w:t xml:space="preserve">分；</w:t>
            </w:r>
            <w:r/>
          </w:p>
          <w:p>
            <w:pPr>
              <w:jc w:val="left"/>
              <w:spacing w:line="276" w:lineRule="auto"/>
              <w:rPr>
                <w:rFonts w:ascii="宋体" w:hAnsi="宋体" w:cs="宋体"/>
                <w:b/>
                <w:bCs/>
                <w:color w:val="auto"/>
                <w:sz w:val="24"/>
                <w:szCs w:val="24"/>
              </w:rPr>
            </w:pPr>
            <w:r>
              <w:rPr>
                <w:rFonts w:hint="eastAsia" w:ascii="Times New Roman" w:hAnsi="Times New Roman" w:cs="Times New Roman"/>
                <w:b/>
                <w:bCs/>
                <w:color w:val="auto"/>
                <w:sz w:val="24"/>
                <w:szCs w:val="24"/>
              </w:rPr>
              <w:t xml:space="preserve">本项未见阐述，不得分。</w:t>
            </w:r>
            <w:r/>
          </w:p>
        </w:tc>
      </w:tr>
      <w:tr>
        <w:trPr/>
        <w:tc>
          <w:tcPr>
            <w:tcW w:w="1652" w:type="dxa"/>
            <w:vAlign w:val="center"/>
            <w:textDirection w:val="lrTb"/>
            <w:noWrap w:val="false"/>
          </w:tcPr>
          <w:p>
            <w:pPr>
              <w:pStyle w:val="760"/>
              <w:jc w:val="both"/>
              <w:spacing w:line="276" w:lineRule="auto"/>
              <w:tabs>
                <w:tab w:val="left" w:pos="720" w:leader="none"/>
              </w:tabs>
              <w:rPr>
                <w:color w:val="auto"/>
                <w:sz w:val="24"/>
                <w:szCs w:val="24"/>
              </w:rPr>
            </w:pPr>
            <w:r>
              <w:rPr>
                <w:rFonts w:hint="eastAsia" w:ascii="Times New Roman" w:hAnsi="Times New Roman" w:cs="Times New Roman"/>
                <w:color w:val="auto"/>
                <w:sz w:val="24"/>
                <w:szCs w:val="24"/>
                <w:lang w:val="en-US" w:eastAsia="zh-CN"/>
              </w:rPr>
              <w:t xml:space="preserve">质量控制</w:t>
            </w:r>
            <w:r>
              <w:rPr>
                <w:rFonts w:hint="eastAsia" w:ascii="Times New Roman" w:hAnsi="Times New Roman" w:cs="Times New Roman"/>
                <w:color w:val="auto"/>
                <w:sz w:val="24"/>
                <w:szCs w:val="24"/>
              </w:rPr>
              <w:t xml:space="preserve">方案（</w:t>
            </w:r>
            <w:r>
              <w:rPr>
                <w:rFonts w:hint="eastAsia" w:ascii="Times New Roman" w:hAnsi="Times New Roman" w:cs="Times New Roman"/>
                <w:color w:val="auto"/>
                <w:sz w:val="24"/>
                <w:szCs w:val="24"/>
                <w:lang w:val="en-US" w:eastAsia="zh-CN"/>
              </w:rPr>
              <w:t xml:space="preserve">6</w:t>
            </w:r>
            <w:r>
              <w:rPr>
                <w:rFonts w:hint="eastAsia" w:ascii="Times New Roman" w:hAnsi="Times New Roman" w:cs="Times New Roman"/>
                <w:color w:val="auto"/>
                <w:sz w:val="24"/>
                <w:szCs w:val="24"/>
              </w:rPr>
              <w:t xml:space="preserve">分）</w:t>
            </w:r>
            <w:r/>
          </w:p>
        </w:tc>
        <w:tc>
          <w:tcPr>
            <w:tcW w:w="744" w:type="dxa"/>
            <w:vAlign w:val="center"/>
            <w:textDirection w:val="lrTb"/>
            <w:noWrap w:val="false"/>
          </w:tcPr>
          <w:p>
            <w:pPr>
              <w:pStyle w:val="760"/>
              <w:jc w:val="center"/>
              <w:spacing w:line="276" w:lineRule="auto"/>
              <w:tabs>
                <w:tab w:val="left" w:pos="720" w:leader="none"/>
              </w:tabs>
              <w:rPr>
                <w:rFonts w:hint="eastAsia" w:eastAsia="宋体"/>
                <w:color w:val="auto"/>
                <w:sz w:val="24"/>
                <w:szCs w:val="24"/>
                <w:lang w:eastAsia="zh-CN"/>
              </w:rPr>
            </w:pPr>
            <w:r>
              <w:rPr>
                <w:rFonts w:hint="eastAsia"/>
                <w:color w:val="auto"/>
                <w:sz w:val="24"/>
                <w:szCs w:val="24"/>
                <w:lang w:val="en-US" w:eastAsia="zh-CN"/>
              </w:rPr>
              <w:t xml:space="preserve">6</w:t>
            </w:r>
            <w:r/>
          </w:p>
        </w:tc>
        <w:tc>
          <w:tcPr>
            <w:tcW w:w="7199" w:type="dxa"/>
            <w:vAlign w:val="center"/>
            <w:textDirection w:val="lrTb"/>
            <w:noWrap w:val="false"/>
          </w:tcPr>
          <w:p>
            <w:pPr>
              <w:spacing w:line="360" w:lineRule="auto"/>
              <w:rPr>
                <w:rFonts w:ascii="Times New Roman" w:hAnsi="Times New Roman" w:cs="Times New Roman"/>
                <w:color w:val="auto"/>
                <w:sz w:val="24"/>
                <w:szCs w:val="24"/>
              </w:rPr>
            </w:pPr>
            <w:r>
              <w:rPr>
                <w:rFonts w:hint="eastAsia" w:ascii="Times New Roman" w:hAnsi="Times New Roman" w:cs="Times New Roman"/>
                <w:color w:val="auto"/>
                <w:sz w:val="24"/>
                <w:szCs w:val="24"/>
              </w:rPr>
              <w:t xml:space="preserve">投标文件提供</w:t>
            </w:r>
            <w:r>
              <w:rPr>
                <w:rFonts w:hint="eastAsia" w:ascii="Times New Roman" w:hAnsi="Times New Roman" w:cs="Times New Roman"/>
                <w:color w:val="auto"/>
                <w:sz w:val="24"/>
                <w:szCs w:val="24"/>
                <w:lang w:val="en-US" w:eastAsia="zh-CN"/>
              </w:rPr>
              <w:t xml:space="preserve">质量控制方案（包括但不限于用于质量控制的CMA实验室、校准检测设备、质量管理组织体系与机构、质量管控标准、项目针对性、重难点专项解决方案）</w:t>
            </w:r>
            <w:r>
              <w:rPr>
                <w:rFonts w:hint="eastAsia" w:ascii="Times New Roman" w:hAnsi="Times New Roman" w:cs="Times New Roman"/>
                <w:color w:val="auto"/>
                <w:sz w:val="24"/>
                <w:szCs w:val="24"/>
              </w:rPr>
              <w:t xml:space="preserve">，综合评价方案全面性、合理性。</w:t>
            </w:r>
            <w:r/>
          </w:p>
          <w:p>
            <w:pPr>
              <w:spacing w:line="360" w:lineRule="auto"/>
              <w:rPr>
                <w:rFonts w:hint="eastAsia" w:ascii="Times New Roman" w:hAnsi="Times New Roman" w:cs="Times New Roman"/>
                <w:color w:val="auto"/>
                <w:sz w:val="24"/>
                <w:szCs w:val="24"/>
              </w:rPr>
            </w:pPr>
            <w:r>
              <w:rPr>
                <w:rFonts w:hint="eastAsia" w:ascii="Times New Roman" w:hAnsi="Times New Roman" w:cs="Times New Roman"/>
                <w:color w:val="auto"/>
                <w:sz w:val="24"/>
                <w:szCs w:val="24"/>
                <w:lang w:val="en-US" w:eastAsia="zh-CN"/>
              </w:rPr>
              <w:t xml:space="preserve">投标人自身具有用于质量控制的CMA实验室、校准检测设备种类丰富，且质量控制</w:t>
            </w:r>
            <w:r>
              <w:rPr>
                <w:rFonts w:hint="eastAsia" w:ascii="Times New Roman" w:hAnsi="Times New Roman" w:cs="Times New Roman"/>
                <w:color w:val="auto"/>
                <w:sz w:val="24"/>
                <w:szCs w:val="24"/>
              </w:rPr>
              <w:t xml:space="preserve">方案内容全面、科学合理、可行性强的，</w:t>
            </w:r>
            <w:r>
              <w:rPr>
                <w:rFonts w:hint="eastAsia" w:ascii="Times New Roman" w:hAnsi="Times New Roman" w:cs="Times New Roman"/>
                <w:b/>
                <w:bCs/>
                <w:color w:val="auto"/>
                <w:sz w:val="24"/>
                <w:szCs w:val="24"/>
              </w:rPr>
              <w:t xml:space="preserve">得</w:t>
            </w:r>
            <w:r>
              <w:rPr>
                <w:rFonts w:hint="eastAsia" w:ascii="Times New Roman" w:hAnsi="Times New Roman" w:cs="Times New Roman"/>
                <w:b/>
                <w:bCs/>
                <w:color w:val="auto"/>
                <w:sz w:val="24"/>
                <w:szCs w:val="24"/>
                <w:lang w:val="en-US" w:eastAsia="zh-CN"/>
              </w:rPr>
              <w:t xml:space="preserve">6</w:t>
            </w:r>
            <w:r>
              <w:rPr>
                <w:rFonts w:hint="eastAsia" w:ascii="Times New Roman" w:hAnsi="Times New Roman" w:cs="Times New Roman"/>
                <w:b/>
                <w:bCs/>
                <w:color w:val="auto"/>
                <w:sz w:val="24"/>
                <w:szCs w:val="24"/>
              </w:rPr>
              <w:t xml:space="preserve">分</w:t>
            </w:r>
            <w:r>
              <w:rPr>
                <w:rFonts w:hint="eastAsia" w:ascii="Times New Roman" w:hAnsi="Times New Roman" w:cs="Times New Roman"/>
                <w:color w:val="auto"/>
                <w:sz w:val="24"/>
                <w:szCs w:val="24"/>
              </w:rPr>
              <w:t xml:space="preserve">；</w:t>
            </w:r>
            <w:r/>
          </w:p>
          <w:p>
            <w:pPr>
              <w:spacing w:line="360" w:lineRule="auto"/>
              <w:rPr>
                <w:rFonts w:hint="eastAsia" w:ascii="Times New Roman" w:hAnsi="Times New Roman" w:cs="Times New Roman"/>
                <w:color w:val="auto"/>
                <w:sz w:val="24"/>
                <w:szCs w:val="24"/>
              </w:rPr>
            </w:pPr>
            <w:r>
              <w:rPr>
                <w:rFonts w:hint="eastAsia" w:ascii="Times New Roman" w:hAnsi="Times New Roman" w:cs="Times New Roman"/>
                <w:color w:val="auto"/>
                <w:sz w:val="24"/>
                <w:szCs w:val="24"/>
                <w:lang w:val="en-US" w:eastAsia="zh-CN"/>
              </w:rPr>
              <w:t xml:space="preserve">投标人委托了用于质量控制的CMA实验室、校准检测设备种类较丰富，且质量控制</w:t>
            </w:r>
            <w:r>
              <w:rPr>
                <w:rFonts w:hint="eastAsia" w:ascii="Times New Roman" w:hAnsi="Times New Roman" w:cs="Times New Roman"/>
                <w:color w:val="auto"/>
                <w:sz w:val="24"/>
                <w:szCs w:val="24"/>
              </w:rPr>
              <w:t xml:space="preserve">方案内容较全面、较为科学合理、可行性较强的，</w:t>
            </w:r>
            <w:r>
              <w:rPr>
                <w:rFonts w:hint="eastAsia" w:ascii="Times New Roman" w:hAnsi="Times New Roman" w:cs="Times New Roman"/>
                <w:b/>
                <w:bCs/>
                <w:color w:val="auto"/>
                <w:sz w:val="24"/>
                <w:szCs w:val="24"/>
              </w:rPr>
              <w:t xml:space="preserve">得</w:t>
            </w:r>
            <w:r>
              <w:rPr>
                <w:rFonts w:hint="eastAsia" w:ascii="Times New Roman" w:hAnsi="Times New Roman" w:cs="Times New Roman"/>
                <w:b/>
                <w:bCs/>
                <w:color w:val="auto"/>
                <w:sz w:val="24"/>
                <w:szCs w:val="24"/>
                <w:lang w:val="en-US" w:eastAsia="zh-CN"/>
              </w:rPr>
              <w:t xml:space="preserve">4</w:t>
            </w:r>
            <w:r>
              <w:rPr>
                <w:rFonts w:hint="eastAsia" w:ascii="Times New Roman" w:hAnsi="Times New Roman" w:cs="Times New Roman"/>
                <w:b/>
                <w:bCs/>
                <w:color w:val="auto"/>
                <w:sz w:val="24"/>
                <w:szCs w:val="24"/>
              </w:rPr>
              <w:t xml:space="preserve">分</w:t>
            </w:r>
            <w:r>
              <w:rPr>
                <w:rFonts w:hint="eastAsia" w:ascii="Times New Roman" w:hAnsi="Times New Roman" w:cs="Times New Roman"/>
                <w:color w:val="auto"/>
                <w:sz w:val="24"/>
                <w:szCs w:val="24"/>
              </w:rPr>
              <w:t xml:space="preserve">；</w:t>
            </w:r>
            <w:r/>
          </w:p>
          <w:p>
            <w:pPr>
              <w:spacing w:line="360" w:lineRule="auto"/>
              <w:rPr>
                <w:rFonts w:hint="eastAsia" w:ascii="Times New Roman" w:hAnsi="Times New Roman" w:cs="Times New Roman"/>
                <w:color w:val="auto"/>
                <w:sz w:val="24"/>
                <w:szCs w:val="24"/>
              </w:rPr>
            </w:pPr>
            <w:r>
              <w:rPr>
                <w:rFonts w:hint="eastAsia" w:ascii="Times New Roman" w:hAnsi="Times New Roman" w:cs="Times New Roman"/>
                <w:color w:val="auto"/>
                <w:sz w:val="24"/>
                <w:szCs w:val="24"/>
                <w:lang w:val="en-US" w:eastAsia="zh-CN"/>
              </w:rPr>
              <w:t xml:space="preserve">投标人委托了用于质量控制的CMA实验室、校准检测设备种类一般，且质量控制</w:t>
            </w:r>
            <w:r>
              <w:rPr>
                <w:rFonts w:hint="eastAsia" w:ascii="Times New Roman" w:hAnsi="Times New Roman" w:cs="Times New Roman"/>
                <w:color w:val="auto"/>
                <w:sz w:val="24"/>
                <w:szCs w:val="24"/>
              </w:rPr>
              <w:t xml:space="preserve">方案内容基本全面、基本科学合理、基本可行的，</w:t>
            </w:r>
            <w:r>
              <w:rPr>
                <w:rFonts w:hint="eastAsia" w:ascii="Times New Roman" w:hAnsi="Times New Roman" w:cs="Times New Roman"/>
                <w:b/>
                <w:bCs/>
                <w:color w:val="auto"/>
                <w:sz w:val="24"/>
                <w:szCs w:val="24"/>
              </w:rPr>
              <w:t xml:space="preserve">得</w:t>
            </w:r>
            <w:r>
              <w:rPr>
                <w:rFonts w:hint="eastAsia" w:ascii="Times New Roman" w:hAnsi="Times New Roman" w:cs="Times New Roman"/>
                <w:b/>
                <w:bCs/>
                <w:color w:val="auto"/>
                <w:sz w:val="24"/>
                <w:szCs w:val="24"/>
                <w:lang w:val="en-US" w:eastAsia="zh-CN"/>
              </w:rPr>
              <w:t xml:space="preserve">2</w:t>
            </w:r>
            <w:r>
              <w:rPr>
                <w:rFonts w:hint="eastAsia" w:ascii="Times New Roman" w:hAnsi="Times New Roman" w:cs="Times New Roman"/>
                <w:b/>
                <w:bCs/>
                <w:color w:val="auto"/>
                <w:sz w:val="24"/>
                <w:szCs w:val="24"/>
              </w:rPr>
              <w:t xml:space="preserve">分</w:t>
            </w:r>
            <w:r>
              <w:rPr>
                <w:rFonts w:hint="eastAsia" w:ascii="Times New Roman" w:hAnsi="Times New Roman" w:cs="Times New Roman"/>
                <w:color w:val="auto"/>
                <w:sz w:val="24"/>
                <w:szCs w:val="24"/>
              </w:rPr>
              <w:t xml:space="preserve">；</w:t>
            </w:r>
            <w:r/>
          </w:p>
          <w:p>
            <w:pPr>
              <w:spacing w:line="360" w:lineRule="auto"/>
              <w:rPr>
                <w:rFonts w:ascii="Times New Roman" w:hAnsi="Times New Roman" w:cs="Times New Roman"/>
                <w:color w:val="auto"/>
                <w:sz w:val="24"/>
                <w:szCs w:val="24"/>
              </w:rPr>
            </w:pPr>
            <w:r>
              <w:rPr>
                <w:rFonts w:hint="eastAsia" w:ascii="Times New Roman" w:hAnsi="Times New Roman" w:cs="Times New Roman"/>
                <w:color w:val="auto"/>
                <w:sz w:val="24"/>
                <w:szCs w:val="24"/>
                <w:lang w:val="en-US" w:eastAsia="zh-CN"/>
              </w:rPr>
              <w:t xml:space="preserve">投标人无用于质量控制的CMA实验室、校准检测设备种类较少，且质量控制</w:t>
            </w:r>
            <w:r>
              <w:rPr>
                <w:rFonts w:hint="eastAsia" w:ascii="Times New Roman" w:hAnsi="Times New Roman" w:cs="Times New Roman"/>
                <w:color w:val="auto"/>
                <w:sz w:val="24"/>
                <w:szCs w:val="24"/>
              </w:rPr>
              <w:t xml:space="preserve">方案内容有缺项、遗漏、不完整的，</w:t>
            </w:r>
            <w:r>
              <w:rPr>
                <w:rFonts w:hint="eastAsia" w:ascii="Times New Roman" w:hAnsi="Times New Roman" w:cs="Times New Roman"/>
                <w:b/>
                <w:bCs/>
                <w:color w:val="auto"/>
                <w:sz w:val="24"/>
                <w:szCs w:val="24"/>
              </w:rPr>
              <w:t xml:space="preserve">得1分</w:t>
            </w:r>
            <w:r>
              <w:rPr>
                <w:rFonts w:hint="eastAsia" w:ascii="Times New Roman" w:hAnsi="Times New Roman" w:cs="Times New Roman"/>
                <w:color w:val="auto"/>
                <w:sz w:val="24"/>
                <w:szCs w:val="24"/>
              </w:rPr>
              <w:t xml:space="preserve">；</w:t>
            </w:r>
            <w:r/>
          </w:p>
          <w:p>
            <w:pPr>
              <w:jc w:val="left"/>
              <w:spacing w:line="276" w:lineRule="auto"/>
              <w:rPr>
                <w:rFonts w:ascii="宋体" w:hAnsi="宋体" w:cs="宋体"/>
                <w:color w:val="auto"/>
                <w:sz w:val="24"/>
                <w:szCs w:val="24"/>
              </w:rPr>
            </w:pPr>
            <w:r>
              <w:rPr>
                <w:rFonts w:hint="eastAsia" w:ascii="Times New Roman" w:hAnsi="Times New Roman" w:cs="Times New Roman"/>
                <w:b/>
                <w:bCs/>
                <w:color w:val="auto"/>
                <w:sz w:val="24"/>
                <w:szCs w:val="24"/>
              </w:rPr>
              <w:t xml:space="preserve">本项未见阐述，不得分。</w:t>
            </w:r>
            <w:r/>
          </w:p>
        </w:tc>
      </w:tr>
      <w:tr>
        <w:trPr/>
        <w:tc>
          <w:tcPr>
            <w:tcW w:w="1652" w:type="dxa"/>
            <w:vAlign w:val="center"/>
            <w:textDirection w:val="lrTb"/>
            <w:noWrap w:val="false"/>
          </w:tcPr>
          <w:p>
            <w:pPr>
              <w:pStyle w:val="760"/>
              <w:jc w:val="center"/>
              <w:spacing w:line="276" w:lineRule="auto"/>
              <w:tabs>
                <w:tab w:val="left" w:pos="720" w:leader="none"/>
              </w:tabs>
              <w:rPr>
                <w:rFonts w:ascii="Times New Roman" w:hAnsi="Times New Roman" w:cs="Times New Roman"/>
                <w:color w:val="auto"/>
                <w:sz w:val="24"/>
                <w:szCs w:val="24"/>
              </w:rPr>
            </w:pPr>
            <w:r>
              <w:rPr>
                <w:rFonts w:hint="eastAsia" w:ascii="Times New Roman" w:hAnsi="Times New Roman" w:cs="Times New Roman"/>
                <w:color w:val="auto"/>
                <w:sz w:val="24"/>
                <w:szCs w:val="24"/>
              </w:rPr>
              <w:t xml:space="preserve">售后服务方案</w:t>
            </w:r>
            <w:r/>
          </w:p>
          <w:p>
            <w:pPr>
              <w:pStyle w:val="760"/>
              <w:jc w:val="center"/>
              <w:spacing w:line="276" w:lineRule="auto"/>
              <w:tabs>
                <w:tab w:val="left" w:pos="720" w:leader="none"/>
              </w:tabs>
              <w:rPr>
                <w:color w:val="auto"/>
                <w:sz w:val="24"/>
                <w:szCs w:val="24"/>
              </w:rPr>
            </w:pPr>
            <w:r>
              <w:rPr>
                <w:rFonts w:hint="eastAsia" w:ascii="Times New Roman" w:hAnsi="Times New Roman" w:cs="Times New Roman"/>
                <w:color w:val="auto"/>
                <w:sz w:val="24"/>
                <w:szCs w:val="24"/>
              </w:rPr>
              <w:t xml:space="preserve">（</w:t>
            </w:r>
            <w:r>
              <w:rPr>
                <w:rFonts w:hint="eastAsia" w:ascii="Times New Roman" w:hAnsi="Times New Roman" w:cs="Times New Roman"/>
                <w:color w:val="auto"/>
                <w:sz w:val="24"/>
                <w:szCs w:val="24"/>
                <w:lang w:val="en-US" w:eastAsia="zh-CN"/>
              </w:rPr>
              <w:t xml:space="preserve">6</w:t>
            </w:r>
            <w:r>
              <w:rPr>
                <w:rFonts w:hint="eastAsia" w:ascii="Times New Roman" w:hAnsi="Times New Roman" w:cs="Times New Roman"/>
                <w:color w:val="auto"/>
                <w:sz w:val="24"/>
                <w:szCs w:val="24"/>
              </w:rPr>
              <w:t xml:space="preserve">分）</w:t>
            </w:r>
            <w:r/>
          </w:p>
        </w:tc>
        <w:tc>
          <w:tcPr>
            <w:tcW w:w="744" w:type="dxa"/>
            <w:vAlign w:val="center"/>
            <w:textDirection w:val="lrTb"/>
            <w:noWrap w:val="false"/>
          </w:tcPr>
          <w:p>
            <w:pPr>
              <w:pStyle w:val="760"/>
              <w:jc w:val="center"/>
              <w:spacing w:line="276" w:lineRule="auto"/>
              <w:tabs>
                <w:tab w:val="left" w:pos="720" w:leader="none"/>
              </w:tabs>
              <w:rPr>
                <w:rFonts w:hint="default" w:eastAsia="宋体"/>
                <w:color w:val="auto"/>
                <w:sz w:val="24"/>
                <w:szCs w:val="24"/>
                <w:lang w:val="en-US" w:eastAsia="zh-CN"/>
              </w:rPr>
            </w:pPr>
            <w:r>
              <w:rPr>
                <w:rFonts w:hint="eastAsia"/>
                <w:color w:val="auto"/>
                <w:sz w:val="24"/>
                <w:szCs w:val="24"/>
                <w:lang w:val="en-US" w:eastAsia="zh-CN"/>
              </w:rPr>
              <w:t xml:space="preserve">6</w:t>
            </w:r>
            <w:r/>
          </w:p>
        </w:tc>
        <w:tc>
          <w:tcPr>
            <w:tcW w:w="7199" w:type="dxa"/>
            <w:vAlign w:val="center"/>
            <w:textDirection w:val="lrTb"/>
            <w:noWrap w:val="false"/>
          </w:tcPr>
          <w:p>
            <w:pPr>
              <w:spacing w:line="360" w:lineRule="auto"/>
              <w:rPr>
                <w:rFonts w:ascii="Times New Roman" w:hAnsi="Times New Roman" w:cs="Times New Roman"/>
                <w:color w:val="auto"/>
                <w:sz w:val="24"/>
                <w:szCs w:val="24"/>
              </w:rPr>
            </w:pPr>
            <w:r>
              <w:rPr>
                <w:rFonts w:hint="eastAsia" w:ascii="Times New Roman" w:hAnsi="Times New Roman" w:cs="Times New Roman"/>
                <w:color w:val="auto"/>
                <w:sz w:val="24"/>
                <w:szCs w:val="24"/>
              </w:rPr>
              <w:t xml:space="preserve">投标文件提供售后服务方案，包括但不限于售后服务范围、专业技术人员配置、售后服务响应及保障计划和设备使用情况回访计划等内容。</w:t>
            </w:r>
            <w:r/>
          </w:p>
          <w:p>
            <w:pPr>
              <w:spacing w:line="360" w:lineRule="auto"/>
              <w:rPr>
                <w:rFonts w:hint="eastAsia" w:ascii="Times New Roman" w:hAnsi="Times New Roman" w:cs="Times New Roman"/>
                <w:color w:val="auto"/>
                <w:sz w:val="24"/>
                <w:szCs w:val="24"/>
              </w:rPr>
            </w:pPr>
            <w:r>
              <w:rPr>
                <w:rFonts w:hint="eastAsia" w:ascii="Times New Roman" w:hAnsi="Times New Roman" w:cs="Times New Roman"/>
                <w:color w:val="auto"/>
                <w:sz w:val="24"/>
                <w:szCs w:val="24"/>
              </w:rPr>
              <w:t xml:space="preserve">方案细致全面、合理，可操作性强，完全响应招标需求的</w:t>
            </w:r>
            <w:r>
              <w:rPr>
                <w:rFonts w:hint="eastAsia" w:ascii="Times New Roman" w:hAnsi="Times New Roman" w:cs="Times New Roman"/>
                <w:color w:val="auto"/>
                <w:sz w:val="24"/>
                <w:szCs w:val="24"/>
                <w:lang w:eastAsia="zh-CN"/>
              </w:rPr>
              <w:t xml:space="preserve">，</w:t>
            </w:r>
            <w:r>
              <w:rPr>
                <w:rFonts w:hint="eastAsia" w:ascii="Times New Roman" w:hAnsi="Times New Roman" w:cs="Times New Roman"/>
                <w:b/>
                <w:bCs/>
                <w:color w:val="auto"/>
                <w:sz w:val="24"/>
                <w:szCs w:val="24"/>
              </w:rPr>
              <w:t xml:space="preserve">得</w:t>
            </w:r>
            <w:r>
              <w:rPr>
                <w:rFonts w:hint="eastAsia" w:ascii="Times New Roman" w:hAnsi="Times New Roman" w:cs="Times New Roman"/>
                <w:b/>
                <w:bCs/>
                <w:color w:val="auto"/>
                <w:sz w:val="24"/>
                <w:szCs w:val="24"/>
                <w:lang w:val="en-US" w:eastAsia="zh-CN"/>
              </w:rPr>
              <w:t xml:space="preserve">6</w:t>
            </w:r>
            <w:r>
              <w:rPr>
                <w:rFonts w:hint="eastAsia" w:ascii="Times New Roman" w:hAnsi="Times New Roman" w:cs="Times New Roman"/>
                <w:b/>
                <w:bCs/>
                <w:color w:val="auto"/>
                <w:sz w:val="24"/>
                <w:szCs w:val="24"/>
              </w:rPr>
              <w:t xml:space="preserve">分</w:t>
            </w:r>
            <w:r>
              <w:rPr>
                <w:rFonts w:hint="eastAsia" w:ascii="Times New Roman" w:hAnsi="Times New Roman" w:cs="Times New Roman"/>
                <w:color w:val="auto"/>
                <w:sz w:val="24"/>
                <w:szCs w:val="24"/>
              </w:rPr>
              <w:t xml:space="preserve">；</w:t>
            </w:r>
            <w:r/>
          </w:p>
          <w:p>
            <w:pPr>
              <w:spacing w:line="360" w:lineRule="auto"/>
              <w:rPr>
                <w:rFonts w:hint="eastAsia" w:ascii="Times New Roman" w:hAnsi="Times New Roman" w:cs="Times New Roman"/>
                <w:color w:val="auto"/>
                <w:sz w:val="24"/>
                <w:szCs w:val="24"/>
              </w:rPr>
            </w:pPr>
            <w:r>
              <w:rPr>
                <w:rFonts w:hint="eastAsia" w:ascii="Times New Roman" w:hAnsi="Times New Roman" w:cs="Times New Roman"/>
                <w:color w:val="auto"/>
                <w:sz w:val="24"/>
                <w:szCs w:val="24"/>
              </w:rPr>
              <w:t xml:space="preserve">方案较为完整，可操作性较强，响应招标需求较高的</w:t>
            </w:r>
            <w:r>
              <w:rPr>
                <w:rFonts w:hint="eastAsia" w:ascii="Times New Roman" w:hAnsi="Times New Roman" w:cs="Times New Roman"/>
                <w:color w:val="auto"/>
                <w:sz w:val="24"/>
                <w:szCs w:val="24"/>
                <w:lang w:eastAsia="zh-CN"/>
              </w:rPr>
              <w:t xml:space="preserve">，</w:t>
            </w:r>
            <w:r>
              <w:rPr>
                <w:rFonts w:hint="eastAsia" w:ascii="Times New Roman" w:hAnsi="Times New Roman" w:cs="Times New Roman"/>
                <w:b/>
                <w:bCs/>
                <w:color w:val="auto"/>
                <w:sz w:val="24"/>
                <w:szCs w:val="24"/>
              </w:rPr>
              <w:t xml:space="preserve">得</w:t>
            </w:r>
            <w:r>
              <w:rPr>
                <w:rFonts w:hint="eastAsia" w:ascii="Times New Roman" w:hAnsi="Times New Roman" w:cs="Times New Roman"/>
                <w:b/>
                <w:bCs/>
                <w:color w:val="auto"/>
                <w:sz w:val="24"/>
                <w:szCs w:val="24"/>
                <w:lang w:val="en-US" w:eastAsia="zh-CN"/>
              </w:rPr>
              <w:t xml:space="preserve">4</w:t>
            </w:r>
            <w:r>
              <w:rPr>
                <w:rFonts w:hint="eastAsia" w:ascii="Times New Roman" w:hAnsi="Times New Roman" w:cs="Times New Roman"/>
                <w:b/>
                <w:bCs/>
                <w:color w:val="auto"/>
                <w:sz w:val="24"/>
                <w:szCs w:val="24"/>
              </w:rPr>
              <w:t xml:space="preserve">分</w:t>
            </w:r>
            <w:r>
              <w:rPr>
                <w:rFonts w:hint="eastAsia" w:ascii="Times New Roman" w:hAnsi="Times New Roman" w:cs="Times New Roman"/>
                <w:color w:val="auto"/>
                <w:sz w:val="24"/>
                <w:szCs w:val="24"/>
              </w:rPr>
              <w:t xml:space="preserve">；</w:t>
            </w:r>
            <w:r/>
          </w:p>
          <w:p>
            <w:pPr>
              <w:spacing w:line="360" w:lineRule="auto"/>
              <w:rPr>
                <w:rFonts w:hint="eastAsia" w:ascii="Times New Roman" w:hAnsi="Times New Roman" w:cs="Times New Roman"/>
                <w:color w:val="auto"/>
                <w:sz w:val="24"/>
                <w:szCs w:val="24"/>
              </w:rPr>
            </w:pPr>
            <w:r>
              <w:rPr>
                <w:rFonts w:hint="eastAsia" w:ascii="Times New Roman" w:hAnsi="Times New Roman" w:cs="Times New Roman"/>
                <w:color w:val="auto"/>
                <w:sz w:val="24"/>
                <w:szCs w:val="24"/>
              </w:rPr>
              <w:t xml:space="preserve">方案基本完整，可操作性一般，基本响应招标文件需求的，</w:t>
            </w:r>
            <w:r>
              <w:rPr>
                <w:rFonts w:hint="eastAsia" w:ascii="Times New Roman" w:hAnsi="Times New Roman" w:cs="Times New Roman"/>
                <w:b/>
                <w:bCs/>
                <w:color w:val="auto"/>
                <w:sz w:val="24"/>
                <w:szCs w:val="24"/>
              </w:rPr>
              <w:t xml:space="preserve">得</w:t>
            </w:r>
            <w:r>
              <w:rPr>
                <w:rFonts w:hint="eastAsia" w:ascii="Times New Roman" w:hAnsi="Times New Roman" w:cs="Times New Roman"/>
                <w:b/>
                <w:bCs/>
                <w:color w:val="auto"/>
                <w:sz w:val="24"/>
                <w:szCs w:val="24"/>
                <w:lang w:val="en-US" w:eastAsia="zh-CN"/>
              </w:rPr>
              <w:t xml:space="preserve">2</w:t>
            </w:r>
            <w:r>
              <w:rPr>
                <w:rFonts w:hint="eastAsia" w:ascii="Times New Roman" w:hAnsi="Times New Roman" w:cs="Times New Roman"/>
                <w:b/>
                <w:bCs/>
                <w:color w:val="auto"/>
                <w:sz w:val="24"/>
                <w:szCs w:val="24"/>
              </w:rPr>
              <w:t xml:space="preserve">分</w:t>
            </w:r>
            <w:r>
              <w:rPr>
                <w:rFonts w:hint="eastAsia" w:ascii="Times New Roman" w:hAnsi="Times New Roman" w:cs="Times New Roman"/>
                <w:color w:val="auto"/>
                <w:sz w:val="24"/>
                <w:szCs w:val="24"/>
              </w:rPr>
              <w:t xml:space="preserve">；</w:t>
            </w:r>
            <w:r/>
          </w:p>
          <w:p>
            <w:pPr>
              <w:spacing w:line="360" w:lineRule="auto"/>
              <w:rPr>
                <w:rFonts w:hint="eastAsia" w:ascii="Times New Roman" w:hAnsi="Times New Roman" w:eastAsia="宋体" w:cs="Times New Roman"/>
                <w:color w:val="auto"/>
                <w:sz w:val="24"/>
                <w:szCs w:val="24"/>
                <w:lang w:val="en-US" w:eastAsia="zh-CN"/>
              </w:rPr>
            </w:pPr>
            <w:r>
              <w:rPr>
                <w:rFonts w:hint="eastAsia" w:ascii="Times New Roman" w:hAnsi="Times New Roman" w:cs="Times New Roman"/>
                <w:color w:val="auto"/>
                <w:sz w:val="24"/>
                <w:szCs w:val="24"/>
              </w:rPr>
              <w:t xml:space="preserve">方案不完整，可操作性一般，响应度低的</w:t>
            </w:r>
            <w:r>
              <w:rPr>
                <w:rFonts w:hint="eastAsia" w:ascii="Times New Roman" w:hAnsi="Times New Roman" w:cs="Times New Roman"/>
                <w:color w:val="auto"/>
                <w:sz w:val="24"/>
                <w:szCs w:val="24"/>
                <w:lang w:eastAsia="zh-CN"/>
              </w:rPr>
              <w:t xml:space="preserve">，</w:t>
            </w:r>
            <w:r>
              <w:rPr>
                <w:rFonts w:hint="eastAsia" w:ascii="Times New Roman" w:hAnsi="Times New Roman" w:cs="Times New Roman"/>
                <w:b/>
                <w:bCs/>
                <w:color w:val="auto"/>
                <w:sz w:val="24"/>
                <w:szCs w:val="24"/>
              </w:rPr>
              <w:t xml:space="preserve">得1分</w:t>
            </w:r>
            <w:r>
              <w:rPr>
                <w:rFonts w:hint="eastAsia" w:ascii="Times New Roman" w:hAnsi="Times New Roman" w:cs="Times New Roman"/>
                <w:color w:val="auto"/>
                <w:sz w:val="24"/>
                <w:szCs w:val="24"/>
              </w:rPr>
              <w:t xml:space="preserve">；</w:t>
            </w:r>
            <w:r/>
          </w:p>
          <w:p>
            <w:pPr>
              <w:jc w:val="left"/>
              <w:spacing w:line="276" w:lineRule="auto"/>
              <w:rPr>
                <w:rFonts w:ascii="宋体" w:hAnsi="宋体" w:cs="宋体"/>
                <w:color w:val="auto"/>
                <w:sz w:val="24"/>
                <w:szCs w:val="24"/>
              </w:rPr>
            </w:pPr>
            <w:r>
              <w:rPr>
                <w:rFonts w:hint="eastAsia" w:ascii="Times New Roman" w:hAnsi="Times New Roman" w:cs="Times New Roman"/>
                <w:b/>
                <w:bCs/>
                <w:color w:val="auto"/>
                <w:sz w:val="24"/>
                <w:szCs w:val="24"/>
              </w:rPr>
              <w:t xml:space="preserve">本项未见阐述，不得分。</w:t>
            </w:r>
            <w:r/>
          </w:p>
        </w:tc>
      </w:tr>
    </w:tbl>
    <w:p>
      <w:pPr>
        <w:jc w:val="left"/>
        <w:widowControl/>
        <w:rPr>
          <w:color w:val="000000"/>
          <w:sz w:val="24"/>
          <w:szCs w:val="24"/>
        </w:rPr>
      </w:pPr>
      <w:r>
        <w:rPr>
          <w:color w:val="000000"/>
          <w:sz w:val="24"/>
          <w:szCs w:val="24"/>
        </w:rPr>
        <w:br w:type="page" w:clear="all"/>
      </w:r>
      <w:r/>
    </w:p>
    <w:p>
      <w:pPr>
        <w:pStyle w:val="690"/>
        <w:jc w:val="center"/>
        <w:spacing w:line="360" w:lineRule="auto"/>
        <w:rPr>
          <w:rFonts w:ascii="黑体" w:hAnsi="黑体" w:eastAsia="黑体"/>
          <w:b w:val="0"/>
          <w:color w:val="000000"/>
        </w:rPr>
      </w:pPr>
      <w:r/>
      <w:bookmarkStart w:id="42" w:name="_Toc3751"/>
      <w:r>
        <w:rPr>
          <w:rFonts w:hint="eastAsia" w:ascii="黑体" w:hAnsi="黑体" w:eastAsia="黑体"/>
          <w:b w:val="0"/>
          <w:color w:val="000000"/>
        </w:rPr>
        <w:t xml:space="preserve">第六章  投标文件格式</w:t>
      </w:r>
      <w:bookmarkEnd w:id="42"/>
      <w:r/>
      <w:r/>
    </w:p>
    <w:p>
      <w:pPr>
        <w:jc w:val="left"/>
        <w:spacing w:line="500" w:lineRule="exact"/>
        <w:rPr>
          <w:color w:val="000000"/>
          <w:sz w:val="24"/>
          <w:szCs w:val="24"/>
        </w:rPr>
      </w:pPr>
      <w:r>
        <w:rPr>
          <w:color w:val="000000"/>
          <w:sz w:val="24"/>
          <w:szCs w:val="24"/>
        </w:rPr>
      </w:r>
      <w:r/>
    </w:p>
    <w:p>
      <w:pPr>
        <w:jc w:val="center"/>
        <w:rPr>
          <w:rFonts w:ascii="宋体" w:hAnsi="宋体" w:cs="Times New Roman"/>
          <w:b/>
          <w:color w:val="000000"/>
          <w:sz w:val="72"/>
          <w:szCs w:val="21"/>
        </w:rPr>
      </w:pPr>
      <w:r>
        <w:rPr>
          <w:rFonts w:ascii="宋体" w:hAnsi="宋体" w:cs="Times New Roman"/>
          <w:b/>
          <w:color w:val="000000"/>
          <w:sz w:val="72"/>
          <w:szCs w:val="21"/>
        </w:rPr>
      </w:r>
      <w:r/>
    </w:p>
    <w:p>
      <w:pPr>
        <w:jc w:val="center"/>
        <w:rPr>
          <w:rFonts w:ascii="宋体" w:hAnsi="宋体" w:cs="Times New Roman"/>
          <w:b/>
          <w:color w:val="000000"/>
          <w:sz w:val="72"/>
          <w:szCs w:val="21"/>
        </w:rPr>
      </w:pPr>
      <w:r>
        <w:rPr>
          <w:rFonts w:hint="eastAsia" w:ascii="宋体" w:hAnsi="宋体" w:cs="Times New Roman"/>
          <w:b/>
          <w:color w:val="000000"/>
          <w:sz w:val="72"/>
          <w:szCs w:val="21"/>
        </w:rPr>
        <w:t xml:space="preserve">投  标  文  件</w:t>
      </w:r>
      <w:r/>
    </w:p>
    <w:p>
      <w:pPr>
        <w:jc w:val="center"/>
        <w:rPr>
          <w:rFonts w:ascii="宋体" w:hAnsi="宋体" w:cs="Times New Roman"/>
          <w:b/>
          <w:color w:val="000000"/>
          <w:sz w:val="72"/>
          <w:szCs w:val="21"/>
        </w:rPr>
      </w:pPr>
      <w:r>
        <w:rPr>
          <w:rFonts w:ascii="宋体" w:hAnsi="宋体" w:cs="Times New Roman"/>
          <w:b/>
          <w:color w:val="000000"/>
          <w:sz w:val="72"/>
          <w:szCs w:val="21"/>
        </w:rPr>
      </w:r>
      <w:r/>
    </w:p>
    <w:p>
      <w:pPr>
        <w:jc w:val="center"/>
        <w:rPr>
          <w:rFonts w:ascii="宋体" w:hAnsi="宋体" w:cs="Times New Roman"/>
          <w:b/>
          <w:color w:val="000000"/>
          <w:sz w:val="72"/>
          <w:szCs w:val="21"/>
        </w:rPr>
      </w:pPr>
      <w:r>
        <w:rPr>
          <w:rFonts w:ascii="宋体" w:hAnsi="宋体" w:cs="Times New Roman"/>
          <w:b/>
          <w:color w:val="000000"/>
          <w:sz w:val="72"/>
          <w:szCs w:val="21"/>
        </w:rPr>
      </w:r>
      <w:r/>
    </w:p>
    <w:p>
      <w:pPr>
        <w:jc w:val="center"/>
        <w:rPr>
          <w:rFonts w:ascii="宋体" w:hAnsi="宋体" w:cs="Times New Roman"/>
          <w:b/>
          <w:color w:val="000000"/>
          <w:sz w:val="36"/>
          <w:szCs w:val="21"/>
        </w:rPr>
      </w:pPr>
      <w:r>
        <w:rPr>
          <w:rFonts w:ascii="宋体" w:hAnsi="宋体" w:cs="Times New Roman"/>
          <w:b/>
          <w:color w:val="000000"/>
          <w:sz w:val="36"/>
          <w:szCs w:val="21"/>
        </w:rPr>
      </w:r>
      <w:r/>
    </w:p>
    <w:p>
      <w:pPr>
        <w:jc w:val="center"/>
        <w:rPr>
          <w:rFonts w:ascii="宋体" w:hAnsi="宋体" w:cs="Times New Roman"/>
          <w:b/>
          <w:color w:val="000000"/>
          <w:sz w:val="36"/>
          <w:szCs w:val="21"/>
        </w:rPr>
      </w:pPr>
      <w:r>
        <w:rPr>
          <w:rFonts w:ascii="宋体" w:hAnsi="宋体" w:cs="Times New Roman"/>
          <w:b/>
          <w:color w:val="000000"/>
          <w:sz w:val="36"/>
          <w:szCs w:val="21"/>
        </w:rPr>
      </w:r>
      <w:r/>
    </w:p>
    <w:p>
      <w:pPr>
        <w:jc w:val="center"/>
        <w:rPr>
          <w:rFonts w:ascii="宋体" w:hAnsi="宋体" w:cs="Times New Roman"/>
          <w:b/>
          <w:color w:val="000000"/>
          <w:sz w:val="36"/>
          <w:szCs w:val="21"/>
        </w:rPr>
      </w:pPr>
      <w:r>
        <w:rPr>
          <w:rFonts w:ascii="宋体" w:hAnsi="宋体" w:cs="Times New Roman"/>
          <w:b/>
          <w:color w:val="000000"/>
          <w:sz w:val="36"/>
          <w:szCs w:val="21"/>
        </w:rPr>
      </w:r>
      <w:r/>
    </w:p>
    <w:p>
      <w:pPr>
        <w:ind w:firstLine="1084"/>
        <w:rPr>
          <w:rFonts w:ascii="宋体" w:hAnsi="宋体" w:cs="Times New Roman"/>
          <w:b/>
          <w:color w:val="000000"/>
          <w:sz w:val="36"/>
          <w:szCs w:val="21"/>
        </w:rPr>
      </w:pPr>
      <w:r>
        <w:rPr>
          <w:rFonts w:hint="eastAsia" w:ascii="宋体" w:hAnsi="宋体" w:cs="Times New Roman"/>
          <w:b/>
          <w:color w:val="000000"/>
          <w:sz w:val="36"/>
          <w:szCs w:val="21"/>
        </w:rPr>
        <w:t xml:space="preserve">项 目 名 称：</w:t>
      </w:r>
      <w:r/>
    </w:p>
    <w:p>
      <w:pPr>
        <w:ind w:firstLine="1084"/>
        <w:rPr>
          <w:rFonts w:ascii="宋体" w:hAnsi="宋体" w:cs="Times New Roman"/>
          <w:b/>
          <w:color w:val="000000"/>
          <w:sz w:val="36"/>
          <w:szCs w:val="21"/>
          <w:u w:val="single"/>
        </w:rPr>
      </w:pPr>
      <w:r>
        <w:rPr>
          <w:rFonts w:hint="eastAsia" w:ascii="宋体" w:hAnsi="宋体" w:cs="Times New Roman"/>
          <w:b/>
          <w:color w:val="000000"/>
          <w:sz w:val="36"/>
          <w:szCs w:val="21"/>
        </w:rPr>
        <w:t xml:space="preserve">项 目 编 号：</w:t>
      </w:r>
      <w:r/>
    </w:p>
    <w:p>
      <w:pPr>
        <w:rPr>
          <w:rFonts w:ascii="宋体" w:hAnsi="宋体" w:cs="Times New Roman"/>
          <w:b/>
          <w:color w:val="000000"/>
          <w:sz w:val="36"/>
          <w:szCs w:val="21"/>
          <w:u w:val="single"/>
        </w:rPr>
      </w:pPr>
      <w:r>
        <w:rPr>
          <w:rFonts w:hint="eastAsia" w:ascii="宋体" w:hAnsi="宋体" w:cs="Times New Roman"/>
          <w:b/>
          <w:color w:val="000000"/>
          <w:sz w:val="36"/>
          <w:szCs w:val="21"/>
        </w:rPr>
        <w:t xml:space="preserve">      投标人名称 ：</w:t>
      </w:r>
      <w:r>
        <w:rPr>
          <w:rFonts w:hint="eastAsia" w:ascii="宋体" w:hAnsi="宋体" w:cs="Times New Roman"/>
          <w:b/>
          <w:color w:val="000000"/>
          <w:sz w:val="36"/>
          <w:szCs w:val="21"/>
          <w:u w:val="single"/>
        </w:rPr>
        <w:t xml:space="preserve">（加盖CA电子公章）</w:t>
      </w:r>
      <w:r/>
    </w:p>
    <w:p>
      <w:pPr>
        <w:rPr>
          <w:rFonts w:ascii="宋体" w:hAnsi="宋体" w:cs="Times New Roman"/>
          <w:b/>
          <w:color w:val="000000"/>
          <w:sz w:val="36"/>
          <w:szCs w:val="21"/>
          <w:u w:val="single"/>
        </w:rPr>
      </w:pPr>
      <w:r>
        <w:rPr>
          <w:rFonts w:hint="eastAsia" w:ascii="宋体" w:hAnsi="宋体" w:cs="Times New Roman"/>
          <w:b/>
          <w:color w:val="000000"/>
          <w:sz w:val="36"/>
          <w:szCs w:val="21"/>
        </w:rPr>
        <w:t xml:space="preserve">      日      期 ：</w:t>
      </w:r>
      <w:r/>
    </w:p>
    <w:p>
      <w:pPr>
        <w:jc w:val="center"/>
        <w:spacing w:line="440" w:lineRule="exact"/>
        <w:rPr>
          <w:rFonts w:ascii="宋体" w:hAnsi="宋体" w:cs="Times New Roman"/>
          <w:b/>
          <w:bCs/>
          <w:color w:val="000000"/>
          <w:sz w:val="32"/>
          <w:szCs w:val="32"/>
        </w:rPr>
      </w:pPr>
      <w:r>
        <w:rPr>
          <w:rFonts w:ascii="宋体" w:hAnsi="宋体" w:cs="Times New Roman"/>
          <w:b/>
          <w:bCs/>
          <w:color w:val="000000"/>
          <w:sz w:val="32"/>
          <w:szCs w:val="32"/>
        </w:rPr>
      </w:r>
      <w:r/>
    </w:p>
    <w:p>
      <w:pPr>
        <w:spacing w:line="440" w:lineRule="exact"/>
        <w:rPr>
          <w:rFonts w:ascii="宋体" w:hAnsi="宋体" w:cs="Times New Roman"/>
          <w:color w:val="000000"/>
          <w:szCs w:val="21"/>
        </w:rPr>
      </w:pPr>
      <w:r>
        <w:rPr>
          <w:rFonts w:ascii="宋体" w:hAnsi="宋体" w:cs="Times New Roman"/>
          <w:color w:val="000000"/>
          <w:szCs w:val="21"/>
        </w:rPr>
      </w:r>
      <w:r/>
    </w:p>
    <w:p>
      <w:pPr>
        <w:jc w:val="left"/>
        <w:spacing w:line="500" w:lineRule="exact"/>
        <w:rPr>
          <w:color w:val="000000"/>
          <w:sz w:val="24"/>
          <w:szCs w:val="24"/>
        </w:rPr>
      </w:pPr>
      <w:r>
        <w:rPr>
          <w:color w:val="000000"/>
          <w:sz w:val="24"/>
          <w:szCs w:val="24"/>
        </w:rPr>
      </w:r>
      <w:r/>
    </w:p>
    <w:p>
      <w:pPr>
        <w:jc w:val="left"/>
        <w:spacing w:line="500" w:lineRule="exact"/>
        <w:rPr>
          <w:color w:val="000000"/>
          <w:sz w:val="24"/>
          <w:szCs w:val="24"/>
        </w:rPr>
      </w:pPr>
      <w:r>
        <w:rPr>
          <w:color w:val="000000"/>
          <w:sz w:val="24"/>
          <w:szCs w:val="24"/>
        </w:rPr>
      </w:r>
      <w:r/>
    </w:p>
    <w:p>
      <w:pPr>
        <w:jc w:val="left"/>
        <w:spacing w:line="500" w:lineRule="exact"/>
        <w:rPr>
          <w:color w:val="000000"/>
          <w:sz w:val="24"/>
          <w:szCs w:val="24"/>
        </w:rPr>
      </w:pPr>
      <w:r>
        <w:rPr>
          <w:color w:val="000000"/>
          <w:sz w:val="24"/>
          <w:szCs w:val="24"/>
        </w:rPr>
      </w:r>
      <w:r/>
    </w:p>
    <w:p>
      <w:pPr>
        <w:jc w:val="left"/>
        <w:widowControl/>
        <w:rPr>
          <w:color w:val="000000"/>
          <w:sz w:val="24"/>
          <w:szCs w:val="24"/>
        </w:rPr>
      </w:pPr>
      <w:r>
        <w:rPr>
          <w:color w:val="000000"/>
          <w:sz w:val="24"/>
          <w:szCs w:val="24"/>
        </w:rPr>
        <w:br w:type="page" w:clear="all"/>
      </w:r>
      <w:r/>
    </w:p>
    <w:p>
      <w:pPr>
        <w:jc w:val="left"/>
        <w:keepLines/>
        <w:keepNext/>
        <w:spacing w:before="360" w:after="200" w:line="360" w:lineRule="auto"/>
        <w:rPr>
          <w:rFonts w:ascii="宋体" w:hAnsi="宋体" w:cs="宋体"/>
          <w:b/>
          <w:color w:val="000000"/>
          <w:sz w:val="36"/>
          <w:szCs w:val="36"/>
        </w:rPr>
        <w:outlineLvl w:val="1"/>
      </w:pPr>
      <w:r>
        <w:rPr>
          <w:rFonts w:hint="eastAsia" w:ascii="宋体" w:hAnsi="宋体" w:cs="宋体"/>
          <w:b/>
          <w:color w:val="000000"/>
          <w:sz w:val="36"/>
          <w:szCs w:val="36"/>
        </w:rPr>
        <w:t xml:space="preserve">一、法人或者其他组织的营业执照等证明文件，自然人的身份证明</w:t>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jc w:val="left"/>
        <w:spacing w:line="500" w:lineRule="exact"/>
        <w:rPr>
          <w:color w:val="000000"/>
          <w:sz w:val="24"/>
          <w:szCs w:val="24"/>
        </w:rPr>
      </w:pPr>
      <w:r>
        <w:rPr>
          <w:rFonts w:hint="eastAsia" w:ascii="Arial" w:hAnsi="Arial"/>
          <w:b/>
          <w:color w:val="000000"/>
          <w:sz w:val="36"/>
        </w:rPr>
        <w:t xml:space="preserve">二、上一年度经审计的财务状况报告</w:t>
      </w:r>
      <w:r>
        <w:rPr>
          <w:rFonts w:hint="eastAsia"/>
          <w:color w:val="000000"/>
          <w:sz w:val="24"/>
          <w:szCs w:val="24"/>
        </w:rPr>
        <w:t xml:space="preserve">（成立不满一年无需提供）</w:t>
      </w:r>
      <w:r/>
    </w:p>
    <w:p>
      <w:pPr>
        <w:rPr>
          <w:color w:val="000000"/>
        </w:rPr>
      </w:pPr>
      <w:r>
        <w:rPr>
          <w:color w:val="000000"/>
        </w:rPr>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根据连财购〔2023〕4号文件精神，可以提供《财务状况报告及税收、社会保障资金缴纳情况承诺函》</w:t>
      </w:r>
      <w:r/>
    </w:p>
    <w:p>
      <w:pPr>
        <w:spacing w:line="360" w:lineRule="auto"/>
        <w:rPr>
          <w:rFonts w:ascii="宋体" w:hAnsi="宋体"/>
          <w:color w:val="000000"/>
          <w:sz w:val="24"/>
          <w:szCs w:val="24"/>
        </w:rPr>
      </w:pPr>
      <w:r>
        <w:rPr>
          <w:rFonts w:ascii="宋体" w:hAnsi="宋体"/>
          <w:color w:val="000000"/>
          <w:sz w:val="24"/>
          <w:szCs w:val="24"/>
        </w:rPr>
      </w:r>
      <w:r/>
    </w:p>
    <w:p>
      <w:pPr>
        <w:rPr>
          <w:color w:val="000000"/>
        </w:rPr>
      </w:pPr>
      <w:r>
        <w:rPr>
          <w:color w:val="000000"/>
        </w:rPr>
      </w:r>
      <w:r/>
    </w:p>
    <w:p>
      <w:pPr>
        <w:jc w:val="left"/>
        <w:keepLines/>
        <w:keepNext/>
        <w:spacing w:before="360" w:after="200" w:line="360" w:lineRule="auto"/>
        <w:rPr>
          <w:rFonts w:ascii="Arial" w:hAnsi="Arial"/>
          <w:b/>
          <w:iCs/>
          <w:color w:val="000000"/>
          <w:sz w:val="36"/>
        </w:rPr>
        <w:outlineLvl w:val="1"/>
      </w:pPr>
      <w:r>
        <w:rPr>
          <w:rFonts w:hint="eastAsia" w:ascii="Arial" w:hAnsi="Arial"/>
          <w:b/>
          <w:iCs/>
          <w:color w:val="000000"/>
          <w:sz w:val="36"/>
        </w:rPr>
        <w:t xml:space="preserve">三、依法缴纳税收和社会保障资金的相关材料</w:t>
      </w:r>
      <w:r/>
    </w:p>
    <w:p>
      <w:pPr>
        <w:ind w:firstLine="480"/>
        <w:spacing w:line="360" w:lineRule="auto"/>
        <w:rPr>
          <w:rFonts w:ascii="宋体" w:hAnsi="宋体"/>
          <w:color w:val="000000"/>
          <w:sz w:val="24"/>
          <w:szCs w:val="24"/>
        </w:rPr>
      </w:pPr>
      <w:r>
        <w:rPr>
          <w:rFonts w:hint="eastAsia"/>
          <w:color w:val="000000"/>
          <w:sz w:val="24"/>
          <w:szCs w:val="24"/>
        </w:rPr>
        <w:t xml:space="preserve">提供提交投标文件截止时间前一年内至少一个月依法缴纳税收及缴纳社会保障资金的证明材料，投标人依法享受缓缴、免缴税收、社会保障资金的提供证明材料，也可</w:t>
      </w:r>
      <w:r>
        <w:rPr>
          <w:rFonts w:hint="eastAsia" w:ascii="宋体" w:hAnsi="宋体"/>
          <w:color w:val="000000"/>
          <w:sz w:val="24"/>
          <w:szCs w:val="24"/>
        </w:rPr>
        <w:t xml:space="preserve">根据连财购〔2023〕4号文件精神，提供《财务状况报告及税收、社会保障资金缴纳情况承诺函》。</w:t>
      </w:r>
      <w:r/>
    </w:p>
    <w:p>
      <w:pPr>
        <w:ind w:firstLine="480"/>
        <w:jc w:val="left"/>
        <w:spacing w:line="500" w:lineRule="exact"/>
        <w:rPr>
          <w:color w:val="000000"/>
          <w:sz w:val="24"/>
          <w:szCs w:val="24"/>
        </w:rPr>
      </w:pPr>
      <w:r>
        <w:rPr>
          <w:color w:val="000000"/>
          <w:sz w:val="24"/>
          <w:szCs w:val="24"/>
        </w:rPr>
      </w:r>
      <w:r/>
    </w:p>
    <w:p>
      <w:pPr>
        <w:rPr>
          <w:color w:val="000000"/>
        </w:rPr>
      </w:pPr>
      <w:r>
        <w:rPr>
          <w:color w:val="000000"/>
        </w:rPr>
      </w:r>
      <w:r/>
    </w:p>
    <w:p>
      <w:pPr>
        <w:rPr>
          <w:b/>
          <w:color w:val="000000"/>
          <w:sz w:val="24"/>
        </w:rPr>
      </w:pPr>
      <w:r>
        <w:rPr>
          <w:b/>
          <w:color w:val="000000"/>
          <w:sz w:val="24"/>
        </w:rPr>
      </w:r>
      <w:r/>
    </w:p>
    <w:p>
      <w:pPr>
        <w:rPr>
          <w:b/>
          <w:color w:val="000000"/>
          <w:sz w:val="24"/>
        </w:rPr>
      </w:pPr>
      <w:r>
        <w:rPr>
          <w:b/>
          <w:color w:val="000000"/>
          <w:sz w:val="24"/>
        </w:rPr>
        <w:t xml:space="preserve">承诺函：</w:t>
      </w:r>
      <w:r/>
    </w:p>
    <w:p>
      <w:pPr>
        <w:jc w:val="center"/>
        <w:spacing w:line="360" w:lineRule="auto"/>
        <w:rPr>
          <w:rFonts w:ascii="黑体" w:hAnsi="黑体" w:eastAsia="黑体" w:cs="宋体"/>
          <w:bCs/>
          <w:color w:val="000000"/>
          <w:sz w:val="36"/>
          <w:szCs w:val="28"/>
        </w:rPr>
      </w:pPr>
      <w:r>
        <w:rPr>
          <w:rFonts w:hint="eastAsia" w:ascii="黑体" w:hAnsi="黑体" w:eastAsia="黑体" w:cs="宋体"/>
          <w:bCs/>
          <w:color w:val="000000"/>
          <w:sz w:val="36"/>
          <w:szCs w:val="28"/>
        </w:rPr>
        <w:t xml:space="preserve">财务状况报告及税收、社会保障资金缴纳情况承诺函</w:t>
      </w:r>
      <w:r/>
    </w:p>
    <w:p>
      <w:pPr>
        <w:jc w:val="left"/>
        <w:rPr>
          <w:rFonts w:ascii="MS Mincho" w:cs="Times New Roman"/>
          <w:color w:val="000000"/>
          <w:szCs w:val="24"/>
        </w:rPr>
      </w:pPr>
      <w:r>
        <w:rPr>
          <w:rFonts w:ascii="MS Mincho" w:cs="Times New Roman"/>
          <w:color w:val="000000"/>
          <w:szCs w:val="24"/>
        </w:rPr>
      </w:r>
      <w:r/>
    </w:p>
    <w:p>
      <w:pPr>
        <w:jc w:val="left"/>
        <w:spacing w:line="500" w:lineRule="exact"/>
        <w:rPr>
          <w:rFonts w:cs="Times New Roman"/>
          <w:color w:val="000000"/>
          <w:sz w:val="24"/>
          <w:szCs w:val="24"/>
        </w:rPr>
      </w:pPr>
      <w:r>
        <w:rPr>
          <w:rFonts w:hint="eastAsia" w:cs="Times New Roman"/>
          <w:color w:val="000000"/>
          <w:sz w:val="24"/>
          <w:szCs w:val="24"/>
        </w:rPr>
        <w:t xml:space="preserve">致：</w:t>
      </w:r>
      <w:r>
        <w:rPr>
          <w:rFonts w:hint="eastAsia" w:cs="Times New Roman"/>
          <w:color w:val="000000"/>
          <w:sz w:val="24"/>
          <w:szCs w:val="24"/>
          <w:u w:val="single"/>
        </w:rPr>
        <w:t xml:space="preserve">采购人名称</w:t>
      </w:r>
      <w:r/>
    </w:p>
    <w:p>
      <w:pPr>
        <w:ind w:firstLine="480"/>
        <w:jc w:val="left"/>
        <w:spacing w:line="500" w:lineRule="exact"/>
        <w:rPr>
          <w:rFonts w:cs="Times New Roman"/>
          <w:color w:val="000000"/>
          <w:sz w:val="24"/>
          <w:szCs w:val="24"/>
        </w:rPr>
      </w:pPr>
      <w:r>
        <w:rPr>
          <w:rFonts w:hint="eastAsia" w:cs="Times New Roman"/>
          <w:color w:val="000000"/>
          <w:sz w:val="24"/>
          <w:szCs w:val="24"/>
        </w:rPr>
        <w:t xml:space="preserve">我方</w:t>
      </w:r>
      <w:r>
        <w:rPr>
          <w:rFonts w:hint="eastAsia"/>
          <w:color w:val="000000"/>
          <w:sz w:val="24"/>
          <w:szCs w:val="24"/>
          <w:u w:val="single"/>
        </w:rPr>
        <w:t xml:space="preserve">供应商</w:t>
      </w:r>
      <w:r>
        <w:rPr>
          <w:rFonts w:hint="eastAsia" w:cs="Times New Roman"/>
          <w:color w:val="000000"/>
          <w:sz w:val="24"/>
          <w:szCs w:val="24"/>
          <w:u w:val="single"/>
        </w:rPr>
        <w:t xml:space="preserve">名称</w:t>
      </w:r>
      <w:r>
        <w:rPr>
          <w:rFonts w:hint="eastAsia" w:cs="Times New Roman"/>
          <w:color w:val="000000"/>
          <w:sz w:val="24"/>
          <w:szCs w:val="24"/>
        </w:rPr>
        <w:t xml:space="preserve">参加</w:t>
      </w:r>
      <w:r>
        <w:rPr>
          <w:rFonts w:hint="eastAsia" w:cs="Times New Roman"/>
          <w:color w:val="000000"/>
          <w:sz w:val="24"/>
          <w:szCs w:val="24"/>
          <w:u w:val="single"/>
        </w:rPr>
        <w:t xml:space="preserve">项目名称</w:t>
      </w:r>
      <w:r>
        <w:rPr>
          <w:rFonts w:hint="eastAsia" w:cs="Times New Roman"/>
          <w:color w:val="000000"/>
          <w:sz w:val="24"/>
          <w:szCs w:val="24"/>
        </w:rPr>
        <w:t xml:space="preserve">（项目编号：</w:t>
      </w:r>
      <w:r>
        <w:rPr>
          <w:rFonts w:hint="eastAsia" w:cs="Times New Roman"/>
          <w:color w:val="000000"/>
          <w:sz w:val="24"/>
          <w:szCs w:val="24"/>
          <w:u w:val="single"/>
        </w:rPr>
        <w:t xml:space="preserve">项目编号</w:t>
      </w:r>
      <w:r>
        <w:rPr>
          <w:rFonts w:hint="eastAsia" w:cs="Times New Roman"/>
          <w:color w:val="000000"/>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cs="Times New Roman"/>
          <w:color w:val="000000"/>
          <w:sz w:val="24"/>
          <w:szCs w:val="24"/>
        </w:rPr>
      </w:pPr>
      <w:r>
        <w:rPr>
          <w:rFonts w:hint="eastAsia" w:cs="Times New Roman"/>
          <w:color w:val="000000"/>
          <w:sz w:val="24"/>
          <w:szCs w:val="24"/>
        </w:rPr>
        <w:t xml:space="preserve">（1）具有良好的商业信誉和健全的财务会计制度（财务状况报告）；</w:t>
      </w:r>
      <w:r/>
    </w:p>
    <w:p>
      <w:pPr>
        <w:ind w:firstLine="480"/>
        <w:jc w:val="left"/>
        <w:spacing w:line="500" w:lineRule="exact"/>
        <w:rPr>
          <w:rFonts w:cs="Times New Roman"/>
          <w:color w:val="000000"/>
          <w:sz w:val="24"/>
          <w:szCs w:val="24"/>
        </w:rPr>
      </w:pPr>
      <w:r>
        <w:rPr>
          <w:rFonts w:hint="eastAsia" w:cs="Times New Roman"/>
          <w:color w:val="000000"/>
          <w:sz w:val="24"/>
          <w:szCs w:val="24"/>
        </w:rPr>
        <w:t xml:space="preserve">（2）有依法缴纳税收和社会保障资金的良好记录。</w:t>
      </w:r>
      <w:r/>
    </w:p>
    <w:p>
      <w:pPr>
        <w:ind w:firstLine="480"/>
        <w:jc w:val="left"/>
        <w:spacing w:line="500" w:lineRule="exact"/>
        <w:rPr>
          <w:rFonts w:cs="Times New Roman"/>
          <w:color w:val="000000"/>
          <w:sz w:val="24"/>
          <w:szCs w:val="24"/>
        </w:rPr>
      </w:pPr>
      <w:r>
        <w:rPr>
          <w:rFonts w:hint="eastAsia" w:cs="Times New Roman"/>
          <w:color w:val="000000"/>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cs="Times New Roman"/>
          <w:color w:val="000000"/>
          <w:sz w:val="24"/>
          <w:szCs w:val="24"/>
        </w:rPr>
      </w:pPr>
      <w:r>
        <w:rPr>
          <w:rFonts w:hint="eastAsia" w:cs="Times New Roman"/>
          <w:color w:val="000000"/>
          <w:sz w:val="24"/>
          <w:szCs w:val="24"/>
        </w:rPr>
        <w:t xml:space="preserve">特此承诺</w:t>
      </w:r>
      <w:r/>
    </w:p>
    <w:p>
      <w:pPr>
        <w:ind w:firstLine="480"/>
        <w:jc w:val="left"/>
        <w:spacing w:line="500" w:lineRule="exact"/>
        <w:rPr>
          <w:rFonts w:cs="Times New Roman"/>
          <w:color w:val="000000"/>
          <w:sz w:val="24"/>
          <w:szCs w:val="24"/>
        </w:rPr>
      </w:pPr>
      <w:r>
        <w:rPr>
          <w:rFonts w:cs="Times New Roman"/>
          <w:color w:val="000000"/>
          <w:sz w:val="24"/>
          <w:szCs w:val="24"/>
        </w:rPr>
      </w:r>
      <w:r/>
    </w:p>
    <w:p>
      <w:pPr>
        <w:ind w:firstLine="480"/>
        <w:jc w:val="left"/>
        <w:spacing w:line="500" w:lineRule="exact"/>
        <w:rPr>
          <w:rFonts w:cs="Times New Roman"/>
          <w:color w:val="000000"/>
          <w:sz w:val="24"/>
          <w:szCs w:val="24"/>
        </w:rPr>
      </w:pPr>
      <w:r>
        <w:rPr>
          <w:rFonts w:hint="eastAsia" w:cs="Times New Roman"/>
          <w:color w:val="000000"/>
          <w:sz w:val="24"/>
          <w:szCs w:val="24"/>
        </w:rPr>
        <w:t xml:space="preserve">投标人（公章）：</w:t>
      </w:r>
      <w:r/>
    </w:p>
    <w:p>
      <w:pPr>
        <w:ind w:firstLine="480"/>
        <w:jc w:val="left"/>
        <w:spacing w:line="500" w:lineRule="exact"/>
        <w:rPr>
          <w:rFonts w:cs="Times New Roman"/>
          <w:color w:val="000000"/>
          <w:sz w:val="24"/>
          <w:szCs w:val="24"/>
        </w:rPr>
      </w:pPr>
      <w:r>
        <w:rPr>
          <w:rFonts w:hint="eastAsia" w:cs="Times New Roman"/>
          <w:color w:val="000000"/>
          <w:sz w:val="24"/>
          <w:szCs w:val="24"/>
        </w:rPr>
        <w:t xml:space="preserve">法定代表人</w:t>
      </w:r>
      <w:r>
        <w:rPr>
          <w:rFonts w:cs="Times New Roman"/>
          <w:color w:val="000000"/>
          <w:sz w:val="24"/>
          <w:szCs w:val="24"/>
        </w:rPr>
        <w:t xml:space="preserve">（单位负责人）</w:t>
      </w:r>
      <w:r>
        <w:rPr>
          <w:rFonts w:hint="eastAsia" w:cs="Times New Roman"/>
          <w:color w:val="000000"/>
          <w:sz w:val="24"/>
          <w:szCs w:val="24"/>
        </w:rPr>
        <w:t xml:space="preserve">或委托代理人（签名或签章）：</w:t>
      </w:r>
      <w:r/>
    </w:p>
    <w:p>
      <w:pPr>
        <w:ind w:firstLine="480"/>
        <w:jc w:val="left"/>
        <w:spacing w:line="500" w:lineRule="exact"/>
        <w:rPr>
          <w:rFonts w:cs="Times New Roman"/>
          <w:color w:val="000000"/>
          <w:sz w:val="24"/>
          <w:szCs w:val="24"/>
        </w:rPr>
      </w:pPr>
      <w:r>
        <w:rPr>
          <w:rFonts w:hint="eastAsia" w:cs="Times New Roman"/>
          <w:color w:val="000000"/>
          <w:sz w:val="24"/>
          <w:szCs w:val="24"/>
        </w:rPr>
        <w:t xml:space="preserve">日期：年月日</w:t>
      </w:r>
      <w:r/>
    </w:p>
    <w:p>
      <w:pPr>
        <w:rPr>
          <w:color w:val="000000"/>
        </w:rPr>
      </w:pPr>
      <w:r>
        <w:rPr>
          <w:color w:val="000000"/>
        </w:rPr>
      </w:r>
      <w:r/>
    </w:p>
    <w:p>
      <w:pPr>
        <w:rPr>
          <w:color w:val="000000"/>
        </w:rPr>
      </w:pPr>
      <w:r>
        <w:rPr>
          <w:color w:val="000000"/>
        </w:rPr>
      </w:r>
      <w:r/>
    </w:p>
    <w:p>
      <w:pPr>
        <w:rPr>
          <w:color w:val="000000"/>
        </w:rPr>
      </w:pPr>
      <w:r>
        <w:rPr>
          <w:color w:val="000000"/>
        </w:rPr>
      </w:r>
      <w:r/>
    </w:p>
    <w:p>
      <w:pPr>
        <w:jc w:val="left"/>
        <w:keepLines/>
        <w:keepNext/>
        <w:spacing w:before="360" w:after="200" w:line="360" w:lineRule="auto"/>
        <w:rPr>
          <w:rFonts w:ascii="Arial" w:hAnsi="Arial"/>
          <w:b/>
          <w:iCs/>
          <w:color w:val="000000"/>
          <w:sz w:val="36"/>
        </w:rPr>
        <w:outlineLvl w:val="1"/>
      </w:pPr>
      <w:r>
        <w:rPr>
          <w:rFonts w:hint="eastAsia" w:ascii="Arial" w:hAnsi="Arial"/>
          <w:b/>
          <w:iCs/>
          <w:color w:val="000000"/>
          <w:sz w:val="36"/>
        </w:rPr>
        <w:t xml:space="preserve">四、具备履行合同所必需的设备和专业技术能力的声明及证明材料</w:t>
      </w:r>
      <w:r/>
    </w:p>
    <w:p>
      <w:pPr>
        <w:jc w:val="center"/>
        <w:spacing w:line="460" w:lineRule="exact"/>
        <w:rPr>
          <w:rFonts w:ascii="黑体" w:hAnsi="黑体" w:eastAsia="黑体" w:cs="宋体"/>
          <w:bCs/>
          <w:color w:val="000000"/>
          <w:sz w:val="36"/>
          <w:szCs w:val="28"/>
        </w:rPr>
      </w:pPr>
      <w:r>
        <w:rPr>
          <w:rFonts w:hint="eastAsia" w:ascii="黑体" w:hAnsi="黑体" w:eastAsia="黑体" w:cs="宋体"/>
          <w:bCs/>
          <w:color w:val="000000"/>
          <w:sz w:val="36"/>
          <w:szCs w:val="28"/>
        </w:rPr>
        <w:t xml:space="preserve">具备履行合同所必需的设备和专业技术能力的声明及证明材料</w:t>
      </w:r>
      <w:r/>
    </w:p>
    <w:p>
      <w:pPr>
        <w:jc w:val="center"/>
        <w:spacing w:line="460" w:lineRule="exact"/>
        <w:rPr>
          <w:rFonts w:cs="Times New Roman"/>
          <w:color w:val="000000"/>
          <w:sz w:val="24"/>
          <w:szCs w:val="24"/>
        </w:rPr>
      </w:pPr>
      <w:r>
        <w:rPr>
          <w:rFonts w:cs="Times New Roman"/>
          <w:color w:val="000000"/>
          <w:sz w:val="24"/>
          <w:szCs w:val="24"/>
        </w:rPr>
      </w:r>
      <w:r/>
    </w:p>
    <w:p>
      <w:pPr>
        <w:ind w:firstLine="480"/>
        <w:jc w:val="left"/>
        <w:spacing w:line="500" w:lineRule="exact"/>
        <w:rPr>
          <w:rFonts w:cs="Times New Roman"/>
          <w:color w:val="000000"/>
          <w:sz w:val="24"/>
          <w:szCs w:val="24"/>
        </w:rPr>
      </w:pPr>
      <w:r>
        <w:rPr>
          <w:rFonts w:hint="eastAsia" w:cs="Times New Roman"/>
          <w:color w:val="000000"/>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cs="Times New Roman"/>
          <w:color w:val="000000"/>
          <w:sz w:val="24"/>
          <w:szCs w:val="24"/>
        </w:rPr>
      </w:pPr>
      <w:r>
        <w:rPr>
          <w:rFonts w:cs="Times New Roman"/>
          <w:color w:val="000000"/>
          <w:sz w:val="24"/>
          <w:szCs w:val="24"/>
        </w:rPr>
      </w:r>
      <w:r/>
    </w:p>
    <w:p>
      <w:pPr>
        <w:ind w:firstLine="480"/>
        <w:spacing w:line="360" w:lineRule="auto"/>
        <w:rPr>
          <w:rFonts w:cs="Times New Roman"/>
          <w:color w:val="000000"/>
          <w:sz w:val="24"/>
          <w:szCs w:val="24"/>
        </w:rPr>
      </w:pPr>
      <w:r>
        <w:rPr>
          <w:rFonts w:hint="eastAsia" w:cs="Times New Roman"/>
          <w:color w:val="000000"/>
          <w:sz w:val="24"/>
          <w:szCs w:val="24"/>
        </w:rPr>
        <w:t xml:space="preserve">主要设备有：</w:t>
      </w:r>
      <w:r>
        <w:rPr>
          <w:rFonts w:hint="eastAsia" w:cs="Times New Roman"/>
          <w:color w:val="000000"/>
          <w:sz w:val="24"/>
          <w:szCs w:val="24"/>
          <w:u w:val="single"/>
        </w:rPr>
        <w:t xml:space="preserve">            </w:t>
      </w:r>
      <w:r>
        <w:rPr>
          <w:rFonts w:hint="eastAsia" w:cs="Times New Roman"/>
          <w:color w:val="000000"/>
          <w:sz w:val="24"/>
          <w:szCs w:val="24"/>
        </w:rPr>
        <w:t xml:space="preserve">。（须附证明材料）</w:t>
      </w:r>
      <w:r/>
    </w:p>
    <w:p>
      <w:pPr>
        <w:jc w:val="left"/>
        <w:rPr>
          <w:rFonts w:cs="Times New Roman"/>
          <w:color w:val="000000"/>
          <w:sz w:val="24"/>
          <w:szCs w:val="24"/>
        </w:rPr>
      </w:pPr>
      <w:r>
        <w:rPr>
          <w:rFonts w:cs="Times New Roman"/>
          <w:color w:val="000000"/>
          <w:sz w:val="24"/>
          <w:szCs w:val="24"/>
        </w:rPr>
      </w:r>
      <w:r/>
    </w:p>
    <w:p>
      <w:pPr>
        <w:ind w:firstLine="480"/>
        <w:spacing w:line="360" w:lineRule="auto"/>
        <w:rPr>
          <w:rFonts w:cs="Times New Roman"/>
          <w:color w:val="000000"/>
          <w:sz w:val="24"/>
          <w:szCs w:val="24"/>
        </w:rPr>
      </w:pPr>
      <w:r>
        <w:rPr>
          <w:rFonts w:hint="eastAsia" w:cs="Times New Roman"/>
          <w:color w:val="000000"/>
          <w:sz w:val="24"/>
          <w:szCs w:val="24"/>
        </w:rPr>
        <w:t xml:space="preserve">主要专业技术能力有：</w:t>
      </w:r>
      <w:r>
        <w:rPr>
          <w:rFonts w:hint="eastAsia" w:cs="Times New Roman"/>
          <w:color w:val="000000"/>
          <w:sz w:val="24"/>
          <w:szCs w:val="24"/>
          <w:u w:val="single"/>
        </w:rPr>
        <w:t xml:space="preserve">            </w:t>
      </w:r>
      <w:r>
        <w:rPr>
          <w:rFonts w:hint="eastAsia" w:cs="Times New Roman"/>
          <w:color w:val="000000"/>
          <w:sz w:val="24"/>
          <w:szCs w:val="24"/>
        </w:rPr>
        <w:t xml:space="preserve">。（须附证明材料）</w:t>
      </w:r>
      <w:r/>
    </w:p>
    <w:p>
      <w:pPr>
        <w:ind w:firstLine="480"/>
        <w:spacing w:line="360" w:lineRule="auto"/>
        <w:rPr>
          <w:rFonts w:cs="Times New Roman"/>
          <w:color w:val="000000"/>
          <w:sz w:val="24"/>
          <w:szCs w:val="24"/>
        </w:rPr>
      </w:pPr>
      <w:r>
        <w:rPr>
          <w:rFonts w:cs="Times New Roman"/>
          <w:color w:val="000000"/>
          <w:sz w:val="24"/>
          <w:szCs w:val="24"/>
        </w:rPr>
      </w:r>
      <w:r/>
    </w:p>
    <w:p>
      <w:pPr>
        <w:ind w:firstLine="480"/>
        <w:spacing w:line="360" w:lineRule="auto"/>
        <w:rPr>
          <w:rFonts w:ascii="Times New Roman" w:hAnsi="Times New Roman" w:cs="Times New Roman"/>
          <w:color w:val="000000"/>
          <w:sz w:val="24"/>
          <w:szCs w:val="24"/>
        </w:rPr>
      </w:pPr>
      <w:r>
        <w:rPr>
          <w:rFonts w:hint="eastAsia" w:ascii="Times New Roman" w:hAnsi="Times New Roman" w:cs="Times New Roman"/>
          <w:color w:val="000000"/>
          <w:sz w:val="24"/>
          <w:szCs w:val="24"/>
        </w:rPr>
        <w:t xml:space="preserve">附主要设备和主要专业技术能力的证明材料如下：</w:t>
      </w:r>
      <w:r/>
    </w:p>
    <w:p>
      <w:pPr>
        <w:ind w:firstLine="480"/>
        <w:spacing w:line="360" w:lineRule="auto"/>
        <w:rPr>
          <w:rFonts w:cs="Times New Roman"/>
          <w:color w:val="000000"/>
          <w:sz w:val="24"/>
          <w:szCs w:val="24"/>
        </w:rPr>
      </w:pPr>
      <w:r>
        <w:rPr>
          <w:rFonts w:cs="Times New Roman"/>
          <w:color w:val="000000"/>
          <w:sz w:val="24"/>
          <w:szCs w:val="24"/>
        </w:rPr>
      </w:r>
      <w:r/>
    </w:p>
    <w:p>
      <w:pPr>
        <w:ind w:firstLine="480"/>
        <w:spacing w:line="360" w:lineRule="auto"/>
        <w:rPr>
          <w:rFonts w:cs="Times New Roman"/>
          <w:color w:val="000000"/>
          <w:sz w:val="24"/>
          <w:szCs w:val="24"/>
        </w:rPr>
      </w:pPr>
      <w:r>
        <w:rPr>
          <w:rFonts w:cs="Times New Roman"/>
          <w:color w:val="000000"/>
          <w:sz w:val="24"/>
          <w:szCs w:val="24"/>
        </w:rPr>
      </w:r>
      <w:r/>
    </w:p>
    <w:p>
      <w:pPr>
        <w:ind w:firstLine="480"/>
        <w:spacing w:line="360" w:lineRule="auto"/>
        <w:rPr>
          <w:rFonts w:cs="Times New Roman"/>
          <w:color w:val="000000"/>
          <w:sz w:val="24"/>
          <w:szCs w:val="24"/>
        </w:rPr>
      </w:pPr>
      <w:r>
        <w:rPr>
          <w:rFonts w:hint="eastAsia" w:cs="Times New Roman"/>
          <w:color w:val="000000"/>
          <w:sz w:val="24"/>
          <w:szCs w:val="24"/>
        </w:rPr>
        <w:t xml:space="preserve">投标人（盖章）：</w:t>
      </w:r>
      <w:r/>
    </w:p>
    <w:p>
      <w:pPr>
        <w:ind w:firstLine="480"/>
        <w:spacing w:line="360" w:lineRule="auto"/>
        <w:rPr>
          <w:rFonts w:cs="Times New Roman"/>
          <w:color w:val="000000"/>
          <w:sz w:val="24"/>
          <w:szCs w:val="24"/>
        </w:rPr>
      </w:pPr>
      <w:r>
        <w:rPr>
          <w:rFonts w:hint="eastAsia" w:cs="Times New Roman"/>
          <w:color w:val="000000"/>
          <w:sz w:val="24"/>
          <w:szCs w:val="24"/>
        </w:rPr>
        <w:t xml:space="preserve">法定代表人</w:t>
      </w:r>
      <w:r>
        <w:rPr>
          <w:rFonts w:cs="Times New Roman"/>
          <w:color w:val="000000"/>
          <w:sz w:val="24"/>
          <w:szCs w:val="24"/>
        </w:rPr>
        <w:t xml:space="preserve">（单位负责人）</w:t>
      </w:r>
      <w:r>
        <w:rPr>
          <w:rFonts w:hint="eastAsia" w:cs="Times New Roman"/>
          <w:color w:val="000000"/>
          <w:sz w:val="24"/>
          <w:szCs w:val="24"/>
        </w:rPr>
        <w:t xml:space="preserve">或委托代理人（签字或盖章）：</w:t>
      </w:r>
      <w:r/>
    </w:p>
    <w:p>
      <w:pPr>
        <w:ind w:firstLine="480"/>
        <w:spacing w:line="360" w:lineRule="auto"/>
        <w:rPr>
          <w:rFonts w:cs="Times New Roman"/>
          <w:color w:val="000000"/>
          <w:sz w:val="24"/>
          <w:szCs w:val="24"/>
        </w:rPr>
      </w:pPr>
      <w:r>
        <w:rPr>
          <w:rFonts w:hint="eastAsia" w:cs="Times New Roman"/>
          <w:color w:val="000000"/>
          <w:sz w:val="24"/>
          <w:szCs w:val="24"/>
        </w:rPr>
        <w:t xml:space="preserve">日期：年月日</w:t>
      </w:r>
      <w:r/>
    </w:p>
    <w:p>
      <w:pPr>
        <w:jc w:val="left"/>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rPr>
      </w:r>
      <w:r/>
    </w:p>
    <w:p>
      <w:pPr>
        <w:jc w:val="left"/>
        <w:keepLines/>
        <w:keepNext/>
        <w:spacing w:before="360" w:after="200" w:line="360" w:lineRule="auto"/>
        <w:rPr>
          <w:rFonts w:ascii="Arial" w:hAnsi="Arial"/>
          <w:b/>
          <w:iCs/>
          <w:color w:val="000000"/>
          <w:sz w:val="36"/>
        </w:rPr>
        <w:outlineLvl w:val="1"/>
      </w:pPr>
      <w:r>
        <w:rPr>
          <w:rFonts w:hint="eastAsia" w:ascii="Arial" w:hAnsi="Arial"/>
          <w:b/>
          <w:iCs/>
          <w:color w:val="000000"/>
          <w:sz w:val="36"/>
        </w:rPr>
        <w:t xml:space="preserve">五、参加政府采购活动前3年内在经营活动中没有重大违法记录的书面声明</w:t>
      </w:r>
      <w:r/>
    </w:p>
    <w:p>
      <w:pPr>
        <w:jc w:val="center"/>
        <w:spacing w:line="460" w:lineRule="exact"/>
        <w:rPr>
          <w:rFonts w:ascii="宋体" w:hAnsi="宋体" w:cs="Times New Roman"/>
          <w:b/>
          <w:bCs/>
          <w:color w:val="000000"/>
          <w:sz w:val="44"/>
          <w:szCs w:val="44"/>
        </w:rPr>
      </w:pPr>
      <w:r>
        <w:rPr>
          <w:rFonts w:hint="eastAsia" w:ascii="黑体" w:hAnsi="黑体" w:eastAsia="黑体" w:cs="宋体"/>
          <w:bCs/>
          <w:color w:val="000000"/>
          <w:sz w:val="36"/>
          <w:szCs w:val="28"/>
        </w:rPr>
        <w:t xml:space="preserve">声  明</w:t>
      </w:r>
      <w:r/>
    </w:p>
    <w:p>
      <w:pPr>
        <w:ind w:firstLine="480"/>
        <w:jc w:val="left"/>
        <w:spacing w:line="500" w:lineRule="exact"/>
        <w:rPr>
          <w:rFonts w:cs="Times New Roman"/>
          <w:color w:val="000000"/>
          <w:sz w:val="24"/>
          <w:szCs w:val="24"/>
        </w:rPr>
      </w:pPr>
      <w:r>
        <w:rPr>
          <w:rFonts w:hint="eastAsia" w:cs="Times New Roman"/>
          <w:color w:val="000000"/>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cs="Times New Roman"/>
          <w:color w:val="000000"/>
          <w:sz w:val="24"/>
          <w:szCs w:val="24"/>
        </w:rPr>
      </w:pPr>
      <w:r>
        <w:rPr>
          <w:rFonts w:cs="Times New Roman"/>
          <w:color w:val="000000"/>
          <w:sz w:val="24"/>
          <w:szCs w:val="24"/>
        </w:rPr>
      </w:r>
      <w:r/>
    </w:p>
    <w:p>
      <w:pPr>
        <w:ind w:firstLine="480"/>
        <w:jc w:val="left"/>
        <w:spacing w:line="500" w:lineRule="exact"/>
        <w:rPr>
          <w:rFonts w:cs="Times New Roman"/>
          <w:color w:val="000000"/>
          <w:sz w:val="24"/>
          <w:szCs w:val="24"/>
        </w:rPr>
      </w:pPr>
      <w:r>
        <w:rPr>
          <w:rFonts w:cs="Times New Roman"/>
          <w:color w:val="000000"/>
          <w:sz w:val="24"/>
          <w:szCs w:val="24"/>
        </w:rPr>
      </w:r>
      <w:r/>
    </w:p>
    <w:p>
      <w:pPr>
        <w:ind w:firstLine="480"/>
        <w:jc w:val="left"/>
        <w:spacing w:line="500" w:lineRule="exact"/>
        <w:rPr>
          <w:rFonts w:cs="Times New Roman"/>
          <w:color w:val="000000"/>
          <w:sz w:val="24"/>
          <w:szCs w:val="24"/>
        </w:rPr>
      </w:pPr>
      <w:r>
        <w:rPr>
          <w:rFonts w:hint="eastAsia" w:cs="Times New Roman"/>
          <w:color w:val="000000"/>
          <w:sz w:val="24"/>
          <w:szCs w:val="24"/>
        </w:rPr>
        <w:t xml:space="preserve">投标人（盖章）：</w:t>
      </w:r>
      <w:r/>
    </w:p>
    <w:p>
      <w:pPr>
        <w:ind w:firstLine="480"/>
        <w:jc w:val="left"/>
        <w:spacing w:line="500" w:lineRule="exact"/>
        <w:rPr>
          <w:rFonts w:cs="Times New Roman"/>
          <w:color w:val="000000"/>
          <w:sz w:val="24"/>
          <w:szCs w:val="24"/>
        </w:rPr>
      </w:pPr>
      <w:r>
        <w:rPr>
          <w:rFonts w:hint="eastAsia" w:cs="Times New Roman"/>
          <w:color w:val="000000"/>
          <w:sz w:val="24"/>
          <w:szCs w:val="24"/>
        </w:rPr>
        <w:t xml:space="preserve">法定代表人</w:t>
      </w:r>
      <w:r>
        <w:rPr>
          <w:rFonts w:cs="Times New Roman"/>
          <w:color w:val="000000"/>
          <w:sz w:val="24"/>
          <w:szCs w:val="24"/>
        </w:rPr>
        <w:t xml:space="preserve">（单位负责人）</w:t>
      </w:r>
      <w:r>
        <w:rPr>
          <w:rFonts w:hint="eastAsia" w:cs="Times New Roman"/>
          <w:color w:val="000000"/>
          <w:sz w:val="24"/>
          <w:szCs w:val="24"/>
        </w:rPr>
        <w:t xml:space="preserve">或委托代理人（签字或盖章）：</w:t>
      </w:r>
      <w:r/>
    </w:p>
    <w:p>
      <w:pPr>
        <w:ind w:firstLine="480"/>
        <w:jc w:val="left"/>
        <w:spacing w:line="500" w:lineRule="exact"/>
        <w:rPr>
          <w:rFonts w:cs="Times New Roman"/>
          <w:color w:val="000000"/>
          <w:sz w:val="24"/>
          <w:szCs w:val="24"/>
        </w:rPr>
      </w:pPr>
      <w:r>
        <w:rPr>
          <w:rFonts w:hint="eastAsia" w:cs="Times New Roman"/>
          <w:color w:val="000000"/>
          <w:sz w:val="24"/>
          <w:szCs w:val="24"/>
        </w:rPr>
        <w:t xml:space="preserve">日期：年月日</w:t>
      </w:r>
      <w:r/>
    </w:p>
    <w:p>
      <w:pPr>
        <w:rPr>
          <w:color w:val="000000"/>
        </w:rPr>
      </w:pPr>
      <w:r>
        <w:rPr>
          <w:color w:val="000000"/>
        </w:rPr>
      </w:r>
      <w:r/>
    </w:p>
    <w:p>
      <w:pPr>
        <w:rPr>
          <w:color w:val="000000"/>
        </w:rPr>
      </w:pPr>
      <w:r>
        <w:rPr>
          <w:color w:val="000000"/>
        </w:rPr>
      </w:r>
      <w:r/>
    </w:p>
    <w:p>
      <w:pPr>
        <w:jc w:val="left"/>
        <w:keepLines/>
        <w:keepNext/>
        <w:spacing w:before="360" w:after="200" w:line="360" w:lineRule="auto"/>
        <w:rPr>
          <w:rFonts w:ascii="Arial" w:hAnsi="Arial"/>
          <w:b/>
          <w:iCs/>
          <w:color w:val="000000"/>
          <w:sz w:val="36"/>
        </w:rPr>
        <w:outlineLvl w:val="1"/>
      </w:pPr>
      <w:r>
        <w:rPr>
          <w:rFonts w:hint="eastAsia" w:ascii="Arial" w:hAnsi="Arial"/>
          <w:b/>
          <w:iCs/>
          <w:color w:val="000000"/>
          <w:sz w:val="36"/>
        </w:rPr>
        <w:t xml:space="preserve">六、落实政府采购政策需满足的资格要求的证明文件</w:t>
      </w:r>
      <w:r/>
    </w:p>
    <w:p>
      <w:pPr>
        <w:ind w:firstLine="480"/>
        <w:jc w:val="left"/>
        <w:spacing w:line="500" w:lineRule="exact"/>
        <w:rPr>
          <w:rFonts w:cs="Times New Roman"/>
          <w:color w:val="000000"/>
          <w:sz w:val="24"/>
          <w:szCs w:val="24"/>
        </w:rPr>
      </w:pPr>
      <w:r>
        <w:rPr>
          <w:rFonts w:hint="eastAsia" w:cs="Times New Roman"/>
          <w:color w:val="000000"/>
          <w:sz w:val="24"/>
          <w:szCs w:val="24"/>
        </w:rPr>
        <w:t xml:space="preserve">（如有，请按要求提供）</w:t>
      </w:r>
      <w:r/>
    </w:p>
    <w:p>
      <w:pPr>
        <w:rPr>
          <w:color w:val="000000"/>
        </w:rPr>
      </w:pPr>
      <w:r>
        <w:rPr>
          <w:color w:val="000000"/>
        </w:rPr>
      </w:r>
      <w:r/>
    </w:p>
    <w:p>
      <w:pPr>
        <w:rPr>
          <w:color w:val="000000"/>
        </w:rPr>
      </w:pPr>
      <w:r>
        <w:rPr>
          <w:color w:val="000000"/>
        </w:rPr>
      </w:r>
      <w:r/>
    </w:p>
    <w:p>
      <w:pPr>
        <w:rPr>
          <w:color w:val="000000"/>
        </w:rPr>
      </w:pPr>
      <w:r>
        <w:rPr>
          <w:color w:val="000000"/>
        </w:rPr>
      </w:r>
      <w:r/>
    </w:p>
    <w:p>
      <w:pPr>
        <w:jc w:val="left"/>
        <w:keepLines/>
        <w:keepNext/>
        <w:spacing w:before="360" w:after="200" w:line="360" w:lineRule="auto"/>
        <w:rPr>
          <w:rFonts w:ascii="Arial" w:hAnsi="Arial"/>
          <w:b/>
          <w:iCs/>
          <w:color w:val="000000"/>
          <w:sz w:val="36"/>
        </w:rPr>
        <w:outlineLvl w:val="1"/>
      </w:pPr>
      <w:r>
        <w:rPr>
          <w:rFonts w:hint="eastAsia" w:ascii="Arial" w:hAnsi="Arial"/>
          <w:b/>
          <w:iCs/>
          <w:color w:val="000000"/>
          <w:sz w:val="36"/>
        </w:rPr>
        <w:t xml:space="preserve">七、特定资格要求的证明文件</w:t>
      </w:r>
      <w:r/>
    </w:p>
    <w:p>
      <w:pPr>
        <w:ind w:firstLine="480"/>
        <w:jc w:val="left"/>
        <w:spacing w:line="500" w:lineRule="exact"/>
        <w:rPr>
          <w:rFonts w:cs="Times New Roman"/>
          <w:color w:val="000000"/>
          <w:sz w:val="24"/>
          <w:szCs w:val="24"/>
        </w:rPr>
      </w:pPr>
      <w:r>
        <w:rPr>
          <w:rFonts w:hint="eastAsia" w:cs="Times New Roman"/>
          <w:color w:val="000000"/>
          <w:sz w:val="24"/>
          <w:szCs w:val="24"/>
        </w:rPr>
        <w:t xml:space="preserve">（如有，请按要求提供）</w:t>
      </w:r>
      <w:r/>
    </w:p>
    <w:p>
      <w:pPr>
        <w:rPr>
          <w:color w:val="000000"/>
        </w:rPr>
      </w:pPr>
      <w:r>
        <w:rPr>
          <w:color w:val="000000"/>
        </w:rPr>
      </w:r>
      <w:r/>
    </w:p>
    <w:p>
      <w:pPr>
        <w:rPr>
          <w:color w:val="000000"/>
        </w:rPr>
      </w:pPr>
      <w:r>
        <w:rPr>
          <w:color w:val="000000"/>
        </w:rPr>
      </w:r>
      <w:r/>
    </w:p>
    <w:p>
      <w:pPr>
        <w:rPr>
          <w:color w:val="000000"/>
        </w:rPr>
      </w:pPr>
      <w:r>
        <w:rPr>
          <w:color w:val="000000"/>
        </w:rPr>
      </w:r>
      <w:r/>
    </w:p>
    <w:p>
      <w:pPr>
        <w:jc w:val="left"/>
        <w:keepLines/>
        <w:keepNext/>
        <w:spacing w:before="360" w:after="200" w:line="360" w:lineRule="auto"/>
        <w:rPr>
          <w:rFonts w:ascii="Arial" w:hAnsi="Arial"/>
          <w:b/>
          <w:iCs/>
          <w:color w:val="000000"/>
          <w:sz w:val="36"/>
        </w:rPr>
        <w:outlineLvl w:val="1"/>
      </w:pPr>
      <w:r>
        <w:rPr>
          <w:rFonts w:hint="eastAsia" w:ascii="Arial" w:hAnsi="Arial"/>
          <w:b/>
          <w:iCs/>
          <w:color w:val="000000"/>
          <w:sz w:val="36"/>
        </w:rPr>
        <w:t xml:space="preserve">八、法律、行政法规规定的其他条件的证明文件</w:t>
      </w:r>
      <w:r/>
    </w:p>
    <w:p>
      <w:pPr>
        <w:ind w:firstLine="480"/>
        <w:jc w:val="left"/>
        <w:spacing w:line="500" w:lineRule="exact"/>
        <w:rPr>
          <w:rFonts w:cs="Times New Roman"/>
          <w:color w:val="000000"/>
          <w:sz w:val="24"/>
          <w:szCs w:val="24"/>
        </w:rPr>
      </w:pPr>
      <w:r>
        <w:rPr>
          <w:rFonts w:hint="eastAsia" w:cs="Times New Roman"/>
          <w:color w:val="000000"/>
          <w:sz w:val="24"/>
          <w:szCs w:val="24"/>
        </w:rPr>
        <w:t xml:space="preserve">（如有，请按要求提供）</w:t>
      </w:r>
      <w:r/>
    </w:p>
    <w:p>
      <w:pPr>
        <w:rPr>
          <w:color w:val="000000"/>
        </w:rPr>
      </w:pPr>
      <w:r>
        <w:rPr>
          <w:color w:val="000000"/>
        </w:rPr>
      </w:r>
      <w:r/>
    </w:p>
    <w:p>
      <w:pPr>
        <w:rPr>
          <w:color w:val="000000"/>
        </w:rPr>
      </w:pPr>
      <w:r>
        <w:rPr>
          <w:color w:val="000000"/>
        </w:rPr>
      </w:r>
      <w:r/>
    </w:p>
    <w:p>
      <w:pPr>
        <w:rPr>
          <w:color w:val="000000"/>
        </w:rPr>
      </w:pPr>
      <w:r>
        <w:rPr>
          <w:color w:val="000000"/>
        </w:rPr>
      </w:r>
      <w:r/>
    </w:p>
    <w:p>
      <w:pPr>
        <w:jc w:val="left"/>
        <w:keepLines/>
        <w:keepNext/>
        <w:spacing w:before="360" w:after="200" w:line="360" w:lineRule="auto"/>
        <w:rPr>
          <w:rFonts w:ascii="Arial" w:hAnsi="Arial"/>
          <w:b/>
          <w:iCs/>
          <w:color w:val="000000"/>
          <w:sz w:val="36"/>
        </w:rPr>
        <w:outlineLvl w:val="1"/>
      </w:pPr>
      <w:r>
        <w:rPr>
          <w:rFonts w:hint="eastAsia" w:ascii="Arial" w:hAnsi="Arial"/>
          <w:b/>
          <w:iCs/>
          <w:color w:val="000000"/>
          <w:sz w:val="36"/>
        </w:rPr>
        <w:t xml:space="preserve">九、授权委托书与法定代表人（单位负责人）身份证明</w:t>
      </w:r>
      <w:r/>
    </w:p>
    <w:p>
      <w:pPr>
        <w:jc w:val="center"/>
        <w:spacing w:line="360" w:lineRule="exact"/>
        <w:rPr>
          <w:rFonts w:ascii="宋体" w:hAnsi="宋体" w:cs="Times New Roman"/>
          <w:b/>
          <w:color w:val="000000"/>
          <w:sz w:val="36"/>
          <w:szCs w:val="36"/>
        </w:rPr>
      </w:pPr>
      <w:r>
        <w:rPr>
          <w:rFonts w:ascii="宋体" w:hAnsi="宋体" w:cs="Times New Roman"/>
          <w:b/>
          <w:color w:val="000000"/>
          <w:sz w:val="36"/>
          <w:szCs w:val="36"/>
        </w:rPr>
      </w:r>
      <w:r/>
    </w:p>
    <w:p>
      <w:pPr>
        <w:jc w:val="center"/>
        <w:spacing w:line="360" w:lineRule="exact"/>
        <w:rPr>
          <w:rFonts w:ascii="宋体" w:hAnsi="宋体" w:cs="Times New Roman"/>
          <w:b/>
          <w:color w:val="000000"/>
          <w:sz w:val="36"/>
          <w:szCs w:val="36"/>
        </w:rPr>
      </w:pPr>
      <w:r>
        <w:rPr>
          <w:rFonts w:hint="eastAsia" w:ascii="宋体" w:hAnsi="宋体" w:cs="Times New Roman"/>
          <w:b/>
          <w:color w:val="000000"/>
          <w:sz w:val="36"/>
          <w:szCs w:val="36"/>
        </w:rPr>
        <w:t xml:space="preserve">授权委托书</w:t>
      </w:r>
      <w:r/>
    </w:p>
    <w:p>
      <w:pPr>
        <w:spacing w:line="360" w:lineRule="auto"/>
        <w:rPr>
          <w:rFonts w:cs="Times New Roman"/>
          <w:color w:val="000000"/>
          <w:sz w:val="24"/>
          <w:szCs w:val="24"/>
        </w:rPr>
      </w:pPr>
      <w:r>
        <w:rPr>
          <w:rFonts w:cs="Times New Roman"/>
          <w:color w:val="000000"/>
          <w:sz w:val="24"/>
          <w:szCs w:val="24"/>
        </w:rPr>
        <w:t xml:space="preserve">致：</w:t>
      </w:r>
      <w:r>
        <w:rPr>
          <w:rFonts w:hint="eastAsia" w:cs="Times New Roman"/>
          <w:color w:val="000000"/>
          <w:sz w:val="24"/>
          <w:szCs w:val="24"/>
          <w:u w:val="single"/>
        </w:rPr>
        <w:t xml:space="preserve">采购单位</w:t>
      </w:r>
      <w:r/>
    </w:p>
    <w:p>
      <w:pPr>
        <w:ind w:firstLine="420"/>
        <w:jc w:val="left"/>
        <w:spacing w:line="360" w:lineRule="auto"/>
        <w:rPr>
          <w:rFonts w:cs="Times New Roman"/>
          <w:color w:val="000000"/>
          <w:sz w:val="24"/>
          <w:szCs w:val="24"/>
        </w:rPr>
      </w:pPr>
      <w:r>
        <w:rPr>
          <w:rFonts w:hint="eastAsia" w:cs="Times New Roman"/>
          <w:color w:val="000000"/>
          <w:sz w:val="24"/>
          <w:szCs w:val="24"/>
        </w:rPr>
        <w:t xml:space="preserve">本人</w:t>
      </w:r>
      <w:r>
        <w:rPr>
          <w:rFonts w:cs="Times New Roman"/>
          <w:color w:val="000000"/>
          <w:sz w:val="24"/>
          <w:szCs w:val="24"/>
          <w:u w:val="single"/>
        </w:rPr>
        <w:t xml:space="preserve">（</w:t>
      </w:r>
      <w:r>
        <w:rPr>
          <w:rFonts w:hint="eastAsia" w:cs="Times New Roman"/>
          <w:color w:val="000000"/>
          <w:sz w:val="24"/>
          <w:szCs w:val="24"/>
          <w:u w:val="single"/>
        </w:rPr>
        <w:t xml:space="preserve">姓名</w:t>
      </w:r>
      <w:r>
        <w:rPr>
          <w:rFonts w:cs="Times New Roman"/>
          <w:color w:val="000000"/>
          <w:sz w:val="24"/>
          <w:szCs w:val="24"/>
          <w:u w:val="single"/>
        </w:rPr>
        <w:t xml:space="preserve">）</w:t>
      </w:r>
      <w:r>
        <w:rPr>
          <w:rFonts w:hint="eastAsia" w:cs="Times New Roman"/>
          <w:color w:val="000000"/>
          <w:sz w:val="24"/>
          <w:szCs w:val="24"/>
        </w:rPr>
        <w:t xml:space="preserve">系</w:t>
      </w:r>
      <w:r>
        <w:rPr>
          <w:rFonts w:cs="Times New Roman"/>
          <w:color w:val="000000"/>
          <w:sz w:val="24"/>
          <w:szCs w:val="24"/>
          <w:u w:val="single"/>
        </w:rPr>
        <w:t xml:space="preserve">（</w:t>
      </w:r>
      <w:r>
        <w:rPr>
          <w:rFonts w:hint="eastAsia" w:cs="Times New Roman"/>
          <w:color w:val="000000"/>
          <w:sz w:val="24"/>
          <w:szCs w:val="24"/>
          <w:u w:val="single"/>
        </w:rPr>
        <w:t xml:space="preserve">投标人</w:t>
      </w:r>
      <w:r>
        <w:rPr>
          <w:rFonts w:cs="Times New Roman"/>
          <w:color w:val="000000"/>
          <w:sz w:val="24"/>
          <w:szCs w:val="24"/>
          <w:u w:val="single"/>
        </w:rPr>
        <w:t xml:space="preserve">名称）</w:t>
      </w:r>
      <w:r>
        <w:rPr>
          <w:rFonts w:hint="eastAsia" w:cs="Times New Roman"/>
          <w:color w:val="000000"/>
          <w:sz w:val="24"/>
          <w:szCs w:val="24"/>
        </w:rPr>
        <w:t xml:space="preserve">的</w:t>
      </w:r>
      <w:r>
        <w:rPr>
          <w:rFonts w:cs="Times New Roman"/>
          <w:color w:val="000000"/>
          <w:sz w:val="24"/>
          <w:szCs w:val="24"/>
        </w:rPr>
        <w:t xml:space="preserve">法定代表人（</w:t>
      </w:r>
      <w:r>
        <w:rPr>
          <w:rFonts w:hint="eastAsia" w:cs="Times New Roman"/>
          <w:color w:val="000000"/>
          <w:sz w:val="24"/>
          <w:szCs w:val="24"/>
        </w:rPr>
        <w:t xml:space="preserve">单位</w:t>
      </w:r>
      <w:r>
        <w:rPr>
          <w:rFonts w:cs="Times New Roman"/>
          <w:color w:val="000000"/>
          <w:sz w:val="24"/>
          <w:szCs w:val="24"/>
        </w:rPr>
        <w:t xml:space="preserve">负责人）</w:t>
      </w:r>
      <w:r>
        <w:rPr>
          <w:rFonts w:hint="eastAsia" w:cs="Times New Roman"/>
          <w:color w:val="000000"/>
          <w:sz w:val="24"/>
          <w:szCs w:val="24"/>
        </w:rPr>
        <w:t xml:space="preserve">，</w:t>
      </w:r>
      <w:r>
        <w:rPr>
          <w:rFonts w:cs="Times New Roman"/>
          <w:color w:val="000000"/>
          <w:sz w:val="24"/>
          <w:szCs w:val="24"/>
        </w:rPr>
        <w:t xml:space="preserve">现委托</w:t>
      </w:r>
      <w:r>
        <w:rPr>
          <w:rFonts w:hint="eastAsia" w:cs="Times New Roman"/>
          <w:color w:val="000000"/>
          <w:sz w:val="24"/>
          <w:szCs w:val="24"/>
          <w:u w:val="single"/>
        </w:rPr>
        <w:t xml:space="preserve">（姓名</w:t>
      </w:r>
      <w:r>
        <w:rPr>
          <w:rFonts w:cs="Times New Roman"/>
          <w:color w:val="000000"/>
          <w:sz w:val="24"/>
          <w:szCs w:val="24"/>
          <w:u w:val="single"/>
        </w:rPr>
        <w:t xml:space="preserve">）</w:t>
      </w:r>
      <w:r>
        <w:rPr>
          <w:rFonts w:hint="eastAsia" w:cs="Times New Roman"/>
          <w:color w:val="000000"/>
          <w:sz w:val="24"/>
          <w:szCs w:val="24"/>
        </w:rPr>
        <w:t xml:space="preserve">为</w:t>
      </w:r>
      <w:r>
        <w:rPr>
          <w:rFonts w:cs="Times New Roman"/>
          <w:color w:val="000000"/>
          <w:sz w:val="24"/>
          <w:szCs w:val="24"/>
        </w:rPr>
        <w:t xml:space="preserve">我方代理人，联系电话：。</w:t>
      </w:r>
      <w:r>
        <w:rPr>
          <w:rFonts w:hint="eastAsia" w:cs="Times New Roman"/>
          <w:color w:val="000000"/>
          <w:sz w:val="24"/>
          <w:szCs w:val="24"/>
        </w:rPr>
        <w:t xml:space="preserve">代理人根据</w:t>
      </w:r>
      <w:r>
        <w:rPr>
          <w:rFonts w:cs="Times New Roman"/>
          <w:color w:val="000000"/>
          <w:sz w:val="24"/>
          <w:szCs w:val="24"/>
        </w:rPr>
        <w:t xml:space="preserve">授权，以我方名义签署、澄清确认、递交、撤回、修改</w:t>
      </w:r>
      <w:r>
        <w:rPr>
          <w:rFonts w:hint="eastAsia" w:cs="Times New Roman"/>
          <w:color w:val="000000"/>
          <w:sz w:val="24"/>
          <w:szCs w:val="24"/>
          <w:u w:val="single"/>
        </w:rPr>
        <w:t xml:space="preserve">（项目名称）</w:t>
      </w:r>
      <w:r>
        <w:rPr>
          <w:rFonts w:hint="eastAsia" w:cs="Times New Roman"/>
          <w:color w:val="000000"/>
          <w:sz w:val="24"/>
          <w:szCs w:val="24"/>
        </w:rPr>
        <w:t xml:space="preserve">项目（项目编号：）投标</w:t>
      </w:r>
      <w:r>
        <w:rPr>
          <w:rFonts w:cs="Times New Roman"/>
          <w:color w:val="000000"/>
          <w:sz w:val="24"/>
          <w:szCs w:val="24"/>
        </w:rPr>
        <w:t xml:space="preserve">文件</w:t>
      </w:r>
      <w:r>
        <w:rPr>
          <w:rFonts w:hint="eastAsia" w:cs="Times New Roman"/>
          <w:color w:val="000000"/>
          <w:sz w:val="24"/>
          <w:szCs w:val="24"/>
        </w:rPr>
        <w:t xml:space="preserve">和</w:t>
      </w:r>
      <w:r>
        <w:rPr>
          <w:rFonts w:cs="Times New Roman"/>
          <w:color w:val="000000"/>
          <w:sz w:val="24"/>
          <w:szCs w:val="24"/>
        </w:rPr>
        <w:t xml:space="preserve">处理有关事宜，其法律后果由我方承担。</w:t>
      </w:r>
      <w:r/>
    </w:p>
    <w:p>
      <w:pPr>
        <w:ind w:firstLine="420"/>
        <w:jc w:val="left"/>
        <w:spacing w:line="360" w:lineRule="auto"/>
        <w:rPr>
          <w:rFonts w:cs="Times New Roman"/>
          <w:color w:val="000000"/>
          <w:sz w:val="24"/>
          <w:szCs w:val="24"/>
        </w:rPr>
      </w:pPr>
      <w:r>
        <w:rPr>
          <w:rFonts w:hint="eastAsia" w:cs="Times New Roman"/>
          <w:color w:val="000000"/>
          <w:sz w:val="24"/>
          <w:szCs w:val="24"/>
        </w:rPr>
        <w:t xml:space="preserve">委托</w:t>
      </w:r>
      <w:r>
        <w:rPr>
          <w:rFonts w:cs="Times New Roman"/>
          <w:color w:val="000000"/>
          <w:sz w:val="24"/>
          <w:szCs w:val="24"/>
        </w:rPr>
        <w:t xml:space="preserve">期限：自本</w:t>
      </w:r>
      <w:r>
        <w:rPr>
          <w:rFonts w:hint="eastAsia" w:cs="Times New Roman"/>
          <w:color w:val="000000"/>
          <w:sz w:val="24"/>
          <w:szCs w:val="24"/>
        </w:rPr>
        <w:t xml:space="preserve">授权</w:t>
      </w:r>
      <w:r>
        <w:rPr>
          <w:rFonts w:cs="Times New Roman"/>
          <w:color w:val="000000"/>
          <w:sz w:val="24"/>
          <w:szCs w:val="24"/>
        </w:rPr>
        <w:t xml:space="preserve">委托书签署之日起至</w:t>
      </w:r>
      <w:r>
        <w:rPr>
          <w:rFonts w:hint="eastAsia" w:cs="Times New Roman"/>
          <w:color w:val="000000"/>
          <w:sz w:val="24"/>
          <w:szCs w:val="24"/>
        </w:rPr>
        <w:t xml:space="preserve">响应</w:t>
      </w:r>
      <w:r>
        <w:rPr>
          <w:rFonts w:cs="Times New Roman"/>
          <w:color w:val="000000"/>
          <w:sz w:val="24"/>
          <w:szCs w:val="24"/>
        </w:rPr>
        <w:t xml:space="preserve">有效期</w:t>
      </w:r>
      <w:r>
        <w:rPr>
          <w:rFonts w:hint="eastAsia" w:cs="Times New Roman"/>
          <w:color w:val="000000"/>
          <w:sz w:val="24"/>
          <w:szCs w:val="24"/>
        </w:rPr>
        <w:t xml:space="preserve">届满</w:t>
      </w:r>
      <w:r>
        <w:rPr>
          <w:rFonts w:cs="Times New Roman"/>
          <w:color w:val="000000"/>
          <w:sz w:val="24"/>
          <w:szCs w:val="24"/>
        </w:rPr>
        <w:t xml:space="preserve">之日止。</w:t>
      </w:r>
      <w:r/>
    </w:p>
    <w:p>
      <w:pPr>
        <w:ind w:firstLine="420"/>
        <w:jc w:val="left"/>
        <w:spacing w:line="360" w:lineRule="auto"/>
        <w:rPr>
          <w:rFonts w:cs="Times New Roman"/>
          <w:color w:val="000000"/>
          <w:sz w:val="24"/>
          <w:szCs w:val="24"/>
        </w:rPr>
      </w:pPr>
      <w:r>
        <w:rPr>
          <w:rFonts w:hint="eastAsia" w:cs="Times New Roman"/>
          <w:color w:val="000000"/>
          <w:sz w:val="24"/>
          <w:szCs w:val="24"/>
        </w:rPr>
        <w:t xml:space="preserve">代理人</w:t>
      </w:r>
      <w:r>
        <w:rPr>
          <w:rFonts w:cs="Times New Roman"/>
          <w:color w:val="000000"/>
          <w:sz w:val="24"/>
          <w:szCs w:val="24"/>
        </w:rPr>
        <w:t xml:space="preserve">无转委托权。</w:t>
      </w:r>
      <w:r>
        <w:rPr>
          <w:rFonts w:cs="Times New Roman"/>
          <w:color w:val="000000"/>
          <w:sz w:val="24"/>
          <w:szCs w:val="24"/>
        </w:rPr>
        <w:br w:type="textWrapping" w:clear="all"/>
      </w:r>
      <w:r/>
    </w:p>
    <w:p>
      <w:pPr>
        <w:ind w:firstLine="480"/>
        <w:spacing w:line="360" w:lineRule="auto"/>
        <w:rPr>
          <w:rFonts w:cs="Times New Roman"/>
          <w:color w:val="000000"/>
          <w:sz w:val="24"/>
          <w:szCs w:val="24"/>
        </w:rPr>
      </w:pPr>
      <w:r>
        <w:rPr>
          <w:rFonts w:hint="eastAsia" w:cs="Times New Roman"/>
          <w:color w:val="000000"/>
          <w:sz w:val="24"/>
          <w:szCs w:val="24"/>
        </w:rPr>
        <w:t xml:space="preserve">投标人</w:t>
      </w:r>
      <w:r>
        <w:rPr>
          <w:rFonts w:cs="Times New Roman"/>
          <w:color w:val="000000"/>
          <w:sz w:val="24"/>
          <w:szCs w:val="24"/>
        </w:rPr>
        <w:t xml:space="preserve">名称（加盖公章）：</w:t>
      </w:r>
      <w:r/>
    </w:p>
    <w:p>
      <w:pPr>
        <w:ind w:firstLine="480"/>
        <w:spacing w:line="360" w:lineRule="auto"/>
        <w:rPr>
          <w:rFonts w:cs="Times New Roman"/>
          <w:color w:val="000000"/>
          <w:sz w:val="24"/>
          <w:szCs w:val="24"/>
        </w:rPr>
      </w:pPr>
      <w:r>
        <w:rPr>
          <w:rFonts w:cs="Times New Roman"/>
          <w:color w:val="000000"/>
          <w:sz w:val="24"/>
          <w:szCs w:val="24"/>
        </w:rPr>
        <w:t xml:space="preserve">法定代表人（单位负责人）（签字</w:t>
      </w:r>
      <w:r>
        <w:rPr>
          <w:rFonts w:hint="eastAsia" w:cs="Times New Roman"/>
          <w:color w:val="000000"/>
          <w:sz w:val="24"/>
          <w:szCs w:val="24"/>
        </w:rPr>
        <w:t xml:space="preserve">、签章</w:t>
      </w:r>
      <w:r>
        <w:rPr>
          <w:rFonts w:cs="Times New Roman"/>
          <w:color w:val="000000"/>
          <w:sz w:val="24"/>
          <w:szCs w:val="24"/>
        </w:rPr>
        <w:t xml:space="preserve">或</w:t>
      </w:r>
      <w:r>
        <w:rPr>
          <w:rFonts w:hint="eastAsia" w:cs="Times New Roman"/>
          <w:color w:val="000000"/>
          <w:sz w:val="24"/>
          <w:szCs w:val="24"/>
        </w:rPr>
        <w:t xml:space="preserve">印鉴）</w:t>
      </w:r>
      <w:r>
        <w:rPr>
          <w:rFonts w:cs="Times New Roman"/>
          <w:color w:val="000000"/>
          <w:sz w:val="24"/>
          <w:szCs w:val="24"/>
        </w:rPr>
        <w:t xml:space="preserve">：</w:t>
      </w:r>
      <w:r>
        <w:rPr>
          <w:rFonts w:hint="eastAsia" w:cs="Times New Roman"/>
          <w:color w:val="000000"/>
          <w:sz w:val="24"/>
          <w:szCs w:val="24"/>
          <w:u w:val="single"/>
        </w:rPr>
        <w:t xml:space="preserve">            </w:t>
      </w:r>
      <w:r>
        <w:rPr>
          <w:rFonts w:hint="eastAsia" w:cs="Times New Roman"/>
          <w:color w:val="000000"/>
          <w:sz w:val="24"/>
          <w:szCs w:val="24"/>
        </w:rPr>
        <w:t xml:space="preserve">，联系电话：</w:t>
      </w:r>
      <w:r>
        <w:rPr>
          <w:rFonts w:hint="eastAsia" w:cs="Times New Roman"/>
          <w:color w:val="000000"/>
          <w:sz w:val="24"/>
          <w:szCs w:val="24"/>
          <w:u w:val="single"/>
        </w:rPr>
        <w:t xml:space="preserve">            </w:t>
      </w:r>
      <w:r/>
    </w:p>
    <w:p>
      <w:pPr>
        <w:ind w:firstLine="480"/>
        <w:spacing w:line="360" w:lineRule="auto"/>
        <w:rPr>
          <w:rFonts w:cs="Times New Roman"/>
          <w:color w:val="000000"/>
          <w:sz w:val="24"/>
          <w:szCs w:val="24"/>
        </w:rPr>
      </w:pPr>
      <w:r>
        <w:rPr>
          <w:rFonts w:hint="eastAsia" w:cs="Times New Roman"/>
          <w:color w:val="000000"/>
          <w:sz w:val="24"/>
          <w:szCs w:val="24"/>
        </w:rPr>
        <w:t xml:space="preserve">委托代理</w:t>
      </w:r>
      <w:r>
        <w:rPr>
          <w:rFonts w:cs="Times New Roman"/>
          <w:color w:val="000000"/>
          <w:sz w:val="24"/>
          <w:szCs w:val="24"/>
        </w:rPr>
        <w:t xml:space="preserve">人（签字</w:t>
      </w:r>
      <w:r>
        <w:rPr>
          <w:rFonts w:hint="eastAsia" w:cs="Times New Roman"/>
          <w:color w:val="000000"/>
          <w:sz w:val="24"/>
          <w:szCs w:val="24"/>
        </w:rPr>
        <w:t xml:space="preserve">/签章</w:t>
      </w:r>
      <w:r>
        <w:rPr>
          <w:rFonts w:cs="Times New Roman"/>
          <w:color w:val="000000"/>
          <w:sz w:val="24"/>
          <w:szCs w:val="24"/>
        </w:rPr>
        <w:t xml:space="preserve">）：</w:t>
      </w:r>
      <w:r>
        <w:rPr>
          <w:rFonts w:hint="eastAsia" w:cs="Times New Roman"/>
          <w:color w:val="000000"/>
          <w:sz w:val="24"/>
          <w:szCs w:val="24"/>
          <w:u w:val="single"/>
        </w:rPr>
        <w:t xml:space="preserve">            </w:t>
      </w:r>
      <w:r>
        <w:rPr>
          <w:rFonts w:hint="eastAsia" w:cs="Times New Roman"/>
          <w:color w:val="000000"/>
          <w:sz w:val="24"/>
          <w:szCs w:val="24"/>
        </w:rPr>
        <w:t xml:space="preserve">，联系电话：</w:t>
      </w:r>
      <w:r>
        <w:rPr>
          <w:rFonts w:hint="eastAsia" w:cs="Times New Roman"/>
          <w:color w:val="000000"/>
          <w:sz w:val="24"/>
          <w:szCs w:val="24"/>
          <w:u w:val="single"/>
        </w:rPr>
        <w:t xml:space="preserve">            </w:t>
      </w:r>
      <w:r/>
    </w:p>
    <w:p>
      <w:pPr>
        <w:ind w:firstLine="480"/>
        <w:spacing w:line="360" w:lineRule="auto"/>
        <w:rPr>
          <w:rFonts w:ascii="宋体" w:hAnsi="宋体" w:cs="Times New Roman"/>
          <w:color w:val="000000"/>
          <w:sz w:val="24"/>
          <w:szCs w:val="20"/>
        </w:rPr>
      </w:pPr>
      <w:r>
        <w:rPr>
          <w:rFonts w:hint="eastAsia" w:cs="Times New Roman"/>
          <w:color w:val="000000"/>
          <w:sz w:val="24"/>
          <w:szCs w:val="24"/>
        </w:rPr>
        <w:t xml:space="preserve">日期：年月日</w:t>
      </w:r>
      <w:r/>
    </w:p>
    <w:p>
      <w:pPr>
        <w:jc w:val="left"/>
        <w:spacing w:line="360" w:lineRule="auto"/>
        <w:tabs>
          <w:tab w:val="left" w:pos="5580" w:leader="none"/>
        </w:tabs>
        <w:rPr>
          <w:rFonts w:ascii="宋体" w:hAnsi="宋体" w:cs="Times New Roman"/>
          <w:color w:val="000000"/>
          <w:sz w:val="24"/>
          <w:szCs w:val="20"/>
        </w:rPr>
      </w:pPr>
      <w:r>
        <w:rPr>
          <w:rFonts w:ascii="宋体" w:hAnsi="宋体" w:cs="Times New Roman"/>
          <w:color w:val="000000"/>
          <w:sz w:val="24"/>
          <w:szCs w:val="20"/>
        </w:rPr>
        <w:t xml:space="preserve">法定代表人（单位负责人）有效期内的身份证</w:t>
      </w:r>
      <w:r>
        <w:rPr>
          <w:rFonts w:ascii="宋体" w:hAnsi="宋体" w:cs="Times New Roman"/>
          <w:b/>
          <w:color w:val="000000"/>
          <w:sz w:val="24"/>
          <w:szCs w:val="20"/>
        </w:rPr>
        <w:t xml:space="preserve">正反面</w:t>
      </w:r>
      <w:r>
        <w:rPr>
          <w:rFonts w:ascii="宋体" w:hAnsi="宋体" w:cs="Times New Roman"/>
          <w:color w:val="000000"/>
          <w:sz w:val="24"/>
          <w:szCs w:val="20"/>
        </w:rPr>
        <w:t xml:space="preserve">电子件：</w:t>
      </w:r>
      <w:r/>
    </w:p>
    <w:tbl>
      <w:tblPr>
        <w:tblStyle w:val="70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250"/>
        </w:trPr>
        <w:tc>
          <w:tcPr>
            <w:tcW w:w="4673" w:type="dxa"/>
            <w:textDirection w:val="lrTb"/>
            <w:noWrap w:val="false"/>
          </w:tcPr>
          <w:p>
            <w:pPr>
              <w:jc w:val="left"/>
              <w:spacing w:line="360" w:lineRule="auto"/>
              <w:tabs>
                <w:tab w:val="left" w:pos="5580" w:leader="none"/>
              </w:tabs>
              <w:rPr>
                <w:rFonts w:ascii="宋体" w:hAnsi="宋体" w:cs="Times New Roman"/>
                <w:color w:val="000000"/>
                <w:sz w:val="24"/>
                <w:szCs w:val="20"/>
              </w:rPr>
            </w:pPr>
            <w:r>
              <w:rPr>
                <w:rFonts w:ascii="宋体" w:hAnsi="宋体" w:cs="Times New Roman"/>
                <w:color w:val="000000"/>
                <w:sz w:val="24"/>
                <w:szCs w:val="20"/>
              </w:rPr>
            </w:r>
            <w:r/>
          </w:p>
          <w:p>
            <w:pPr>
              <w:jc w:val="left"/>
              <w:spacing w:line="360" w:lineRule="auto"/>
              <w:tabs>
                <w:tab w:val="left" w:pos="5580" w:leader="none"/>
              </w:tabs>
              <w:rPr>
                <w:rFonts w:ascii="宋体" w:hAnsi="宋体" w:cs="Times New Roman"/>
                <w:color w:val="000000"/>
                <w:sz w:val="24"/>
                <w:szCs w:val="20"/>
              </w:rPr>
            </w:pPr>
            <w:r>
              <w:rPr>
                <w:rFonts w:ascii="宋体" w:hAnsi="宋体" w:cs="Times New Roman"/>
                <w:color w:val="000000"/>
                <w:sz w:val="24"/>
                <w:szCs w:val="20"/>
              </w:rPr>
            </w:r>
            <w:r/>
          </w:p>
          <w:p>
            <w:pPr>
              <w:jc w:val="left"/>
              <w:spacing w:line="360" w:lineRule="auto"/>
              <w:tabs>
                <w:tab w:val="left" w:pos="5580" w:leader="none"/>
              </w:tabs>
              <w:rPr>
                <w:rFonts w:ascii="宋体" w:hAnsi="宋体" w:cs="Times New Roman"/>
                <w:color w:val="000000"/>
                <w:sz w:val="24"/>
                <w:szCs w:val="20"/>
              </w:rPr>
            </w:pPr>
            <w:r>
              <w:rPr>
                <w:rFonts w:ascii="宋体" w:hAnsi="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cs="Times New Roman"/>
                <w:color w:val="000000"/>
                <w:sz w:val="24"/>
                <w:szCs w:val="20"/>
              </w:rPr>
            </w:pPr>
            <w:r>
              <w:rPr>
                <w:rFonts w:ascii="宋体" w:hAnsi="宋体" w:cs="Times New Roman"/>
                <w:color w:val="000000"/>
                <w:sz w:val="24"/>
                <w:szCs w:val="20"/>
              </w:rPr>
            </w:r>
            <w:r/>
          </w:p>
          <w:p>
            <w:pPr>
              <w:jc w:val="left"/>
              <w:spacing w:line="360" w:lineRule="auto"/>
              <w:tabs>
                <w:tab w:val="left" w:pos="5580" w:leader="none"/>
              </w:tabs>
              <w:rPr>
                <w:rFonts w:ascii="宋体" w:hAnsi="宋体" w:cs="Times New Roman"/>
                <w:color w:val="000000"/>
                <w:sz w:val="24"/>
                <w:szCs w:val="20"/>
              </w:rPr>
            </w:pPr>
            <w:r>
              <w:rPr>
                <w:rFonts w:ascii="宋体" w:hAnsi="宋体" w:cs="Times New Roman"/>
                <w:color w:val="000000"/>
                <w:sz w:val="24"/>
                <w:szCs w:val="20"/>
              </w:rPr>
            </w:r>
            <w:r/>
          </w:p>
          <w:p>
            <w:pPr>
              <w:jc w:val="left"/>
              <w:spacing w:line="360" w:lineRule="auto"/>
              <w:tabs>
                <w:tab w:val="left" w:pos="5580" w:leader="none"/>
              </w:tabs>
              <w:rPr>
                <w:rFonts w:ascii="宋体" w:hAnsi="宋体" w:cs="Times New Roman"/>
                <w:color w:val="000000"/>
                <w:sz w:val="24"/>
                <w:szCs w:val="20"/>
              </w:rPr>
            </w:pPr>
            <w:r>
              <w:rPr>
                <w:rFonts w:ascii="宋体" w:hAnsi="宋体" w:cs="Times New Roman"/>
                <w:color w:val="000000"/>
                <w:sz w:val="24"/>
                <w:szCs w:val="20"/>
              </w:rPr>
            </w:r>
            <w:r/>
          </w:p>
        </w:tc>
      </w:tr>
    </w:tbl>
    <w:p>
      <w:pPr>
        <w:jc w:val="left"/>
        <w:spacing w:line="360" w:lineRule="auto"/>
        <w:tabs>
          <w:tab w:val="left" w:pos="5580" w:leader="none"/>
        </w:tabs>
        <w:rPr>
          <w:rFonts w:ascii="宋体" w:hAnsi="宋体" w:cs="Times New Roman"/>
          <w:color w:val="000000"/>
          <w:sz w:val="24"/>
          <w:szCs w:val="20"/>
        </w:rPr>
      </w:pPr>
      <w:r>
        <w:rPr>
          <w:rFonts w:hint="eastAsia" w:ascii="宋体" w:hAnsi="宋体" w:cs="Times New Roman"/>
          <w:color w:val="000000"/>
          <w:sz w:val="24"/>
          <w:szCs w:val="20"/>
        </w:rPr>
        <w:t xml:space="preserve">委托代理人</w:t>
      </w:r>
      <w:r>
        <w:rPr>
          <w:rFonts w:ascii="宋体" w:hAnsi="宋体" w:cs="Times New Roman"/>
          <w:color w:val="000000"/>
          <w:sz w:val="24"/>
          <w:szCs w:val="20"/>
        </w:rPr>
        <w:t xml:space="preserve">有效期内的身份证</w:t>
      </w:r>
      <w:r>
        <w:rPr>
          <w:rFonts w:ascii="宋体" w:hAnsi="宋体" w:cs="Times New Roman"/>
          <w:b/>
          <w:color w:val="000000"/>
          <w:sz w:val="24"/>
          <w:szCs w:val="20"/>
        </w:rPr>
        <w:t xml:space="preserve">正反面</w:t>
      </w:r>
      <w:r>
        <w:rPr>
          <w:rFonts w:ascii="宋体" w:hAnsi="宋体" w:cs="Times New Roman"/>
          <w:color w:val="000000"/>
          <w:sz w:val="24"/>
          <w:szCs w:val="20"/>
        </w:rPr>
        <w:t xml:space="preserve">电子件：</w:t>
      </w:r>
      <w:r/>
    </w:p>
    <w:tbl>
      <w:tblPr>
        <w:tblStyle w:val="70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s="Times New Roman"/>
                <w:color w:val="000000"/>
                <w:sz w:val="24"/>
                <w:szCs w:val="20"/>
              </w:rPr>
            </w:pPr>
            <w:r>
              <w:rPr>
                <w:rFonts w:ascii="宋体" w:hAnsi="宋体" w:cs="Times New Roman"/>
                <w:color w:val="000000"/>
                <w:sz w:val="24"/>
                <w:szCs w:val="20"/>
              </w:rPr>
            </w:r>
            <w:r/>
          </w:p>
          <w:p>
            <w:pPr>
              <w:jc w:val="left"/>
              <w:spacing w:line="360" w:lineRule="auto"/>
              <w:tabs>
                <w:tab w:val="left" w:pos="5580" w:leader="none"/>
              </w:tabs>
              <w:rPr>
                <w:rFonts w:ascii="宋体" w:hAnsi="宋体" w:cs="Times New Roman"/>
                <w:color w:val="000000"/>
                <w:sz w:val="24"/>
                <w:szCs w:val="20"/>
              </w:rPr>
            </w:pPr>
            <w:r>
              <w:rPr>
                <w:rFonts w:ascii="宋体" w:hAnsi="宋体" w:cs="Times New Roman"/>
                <w:color w:val="000000"/>
                <w:sz w:val="24"/>
                <w:szCs w:val="20"/>
              </w:rPr>
            </w:r>
            <w:r/>
          </w:p>
          <w:p>
            <w:pPr>
              <w:jc w:val="left"/>
              <w:spacing w:line="360" w:lineRule="auto"/>
              <w:tabs>
                <w:tab w:val="left" w:pos="5580" w:leader="none"/>
              </w:tabs>
              <w:rPr>
                <w:rFonts w:ascii="宋体" w:hAnsi="宋体" w:cs="Times New Roman"/>
                <w:color w:val="000000"/>
                <w:sz w:val="24"/>
                <w:szCs w:val="20"/>
              </w:rPr>
            </w:pPr>
            <w:r>
              <w:rPr>
                <w:rFonts w:ascii="宋体" w:hAnsi="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cs="Times New Roman"/>
                <w:color w:val="000000"/>
                <w:sz w:val="24"/>
                <w:szCs w:val="20"/>
              </w:rPr>
            </w:pPr>
            <w:r>
              <w:rPr>
                <w:rFonts w:ascii="宋体" w:hAnsi="宋体" w:cs="Times New Roman"/>
                <w:color w:val="000000"/>
                <w:sz w:val="24"/>
                <w:szCs w:val="20"/>
              </w:rPr>
            </w:r>
            <w:r/>
          </w:p>
          <w:p>
            <w:pPr>
              <w:jc w:val="left"/>
              <w:spacing w:line="360" w:lineRule="auto"/>
              <w:tabs>
                <w:tab w:val="left" w:pos="5580" w:leader="none"/>
              </w:tabs>
              <w:rPr>
                <w:rFonts w:ascii="宋体" w:hAnsi="宋体" w:cs="Times New Roman"/>
                <w:color w:val="000000"/>
                <w:sz w:val="24"/>
                <w:szCs w:val="20"/>
              </w:rPr>
            </w:pPr>
            <w:r>
              <w:rPr>
                <w:rFonts w:ascii="宋体" w:hAnsi="宋体" w:cs="Times New Roman"/>
                <w:color w:val="000000"/>
                <w:sz w:val="24"/>
                <w:szCs w:val="20"/>
              </w:rPr>
            </w:r>
            <w:r/>
          </w:p>
          <w:p>
            <w:pPr>
              <w:jc w:val="left"/>
              <w:spacing w:line="360" w:lineRule="auto"/>
              <w:tabs>
                <w:tab w:val="left" w:pos="5580" w:leader="none"/>
              </w:tabs>
              <w:rPr>
                <w:rFonts w:ascii="宋体" w:hAnsi="宋体" w:cs="Times New Roman"/>
                <w:color w:val="000000"/>
                <w:sz w:val="24"/>
                <w:szCs w:val="20"/>
              </w:rPr>
            </w:pPr>
            <w:r>
              <w:rPr>
                <w:rFonts w:ascii="宋体" w:hAnsi="宋体" w:cs="Times New Roman"/>
                <w:color w:val="000000"/>
                <w:sz w:val="24"/>
                <w:szCs w:val="20"/>
              </w:rPr>
            </w:r>
            <w:r/>
          </w:p>
        </w:tc>
      </w:tr>
    </w:tbl>
    <w:p>
      <w:pPr>
        <w:jc w:val="left"/>
        <w:spacing w:line="360" w:lineRule="auto"/>
        <w:tabs>
          <w:tab w:val="left" w:pos="5580" w:leader="none"/>
        </w:tabs>
        <w:rPr>
          <w:rFonts w:cs="Times New Roman"/>
          <w:color w:val="000000"/>
          <w:sz w:val="24"/>
          <w:szCs w:val="24"/>
        </w:rPr>
      </w:pPr>
      <w:r>
        <w:rPr>
          <w:rFonts w:hint="eastAsia" w:cs="Times New Roman"/>
          <w:color w:val="000000"/>
          <w:sz w:val="24"/>
          <w:szCs w:val="24"/>
        </w:rPr>
        <w:t xml:space="preserve">填报说明</w:t>
      </w:r>
      <w:r>
        <w:rPr>
          <w:rFonts w:cs="Times New Roman"/>
          <w:color w:val="000000"/>
          <w:sz w:val="24"/>
          <w:szCs w:val="24"/>
        </w:rPr>
        <w:t xml:space="preserve">：</w:t>
      </w:r>
      <w:r/>
    </w:p>
    <w:p>
      <w:pPr>
        <w:ind w:firstLine="480"/>
        <w:jc w:val="left"/>
        <w:spacing w:line="360" w:lineRule="auto"/>
        <w:tabs>
          <w:tab w:val="left" w:pos="5580" w:leader="none"/>
        </w:tabs>
        <w:rPr>
          <w:rFonts w:cs="Times New Roman"/>
          <w:color w:val="000000"/>
          <w:sz w:val="24"/>
          <w:szCs w:val="24"/>
        </w:rPr>
      </w:pPr>
      <w:r>
        <w:rPr>
          <w:rFonts w:cs="Times New Roman"/>
          <w:color w:val="000000"/>
          <w:sz w:val="24"/>
          <w:szCs w:val="24"/>
        </w:rPr>
        <w:t xml:space="preserve">1、若供应商为事业单位或其他组织或分支机构（仅当</w:t>
      </w:r>
      <w:r>
        <w:rPr>
          <w:rFonts w:hint="eastAsia" w:cs="Times New Roman"/>
          <w:color w:val="000000"/>
          <w:sz w:val="24"/>
          <w:szCs w:val="24"/>
        </w:rPr>
        <w:t xml:space="preserve">招标</w:t>
      </w:r>
      <w:r>
        <w:rPr>
          <w:rFonts w:cs="Times New Roman"/>
          <w:color w:val="000000"/>
          <w:sz w:val="24"/>
          <w:szCs w:val="24"/>
        </w:rPr>
        <w:t xml:space="preserve">文件注明允许分支机构</w:t>
      </w:r>
      <w:r>
        <w:rPr>
          <w:rFonts w:hint="eastAsia" w:cs="Times New Roman"/>
          <w:color w:val="000000"/>
          <w:sz w:val="24"/>
          <w:szCs w:val="24"/>
        </w:rPr>
        <w:t xml:space="preserve">投标</w:t>
      </w:r>
      <w:r>
        <w:rPr>
          <w:rFonts w:cs="Times New Roman"/>
          <w:color w:val="000000"/>
          <w:sz w:val="24"/>
          <w:szCs w:val="24"/>
        </w:rPr>
        <w:t xml:space="preserve">的），则法定代表人（单位负责人）</w:t>
      </w:r>
      <w:r>
        <w:rPr>
          <w:rFonts w:hint="eastAsia" w:cs="Times New Roman"/>
          <w:color w:val="000000"/>
          <w:sz w:val="24"/>
          <w:szCs w:val="24"/>
        </w:rPr>
        <w:t xml:space="preserve">处</w:t>
      </w:r>
      <w:r>
        <w:rPr>
          <w:rFonts w:cs="Times New Roman"/>
          <w:color w:val="000000"/>
          <w:sz w:val="24"/>
          <w:szCs w:val="24"/>
        </w:rPr>
        <w:t xml:space="preserve">的签署人可为单位负责人</w:t>
      </w:r>
      <w:r>
        <w:rPr>
          <w:rFonts w:hint="eastAsia" w:cs="Times New Roman"/>
          <w:color w:val="000000"/>
          <w:sz w:val="24"/>
          <w:szCs w:val="24"/>
        </w:rPr>
        <w:t xml:space="preserve">。</w:t>
      </w:r>
      <w:r/>
    </w:p>
    <w:p>
      <w:pPr>
        <w:ind w:firstLine="480"/>
        <w:jc w:val="left"/>
        <w:spacing w:line="360" w:lineRule="auto"/>
        <w:tabs>
          <w:tab w:val="left" w:pos="5580" w:leader="none"/>
        </w:tabs>
        <w:rPr>
          <w:rFonts w:cs="Times New Roman"/>
          <w:color w:val="000000"/>
          <w:sz w:val="24"/>
          <w:szCs w:val="24"/>
        </w:rPr>
      </w:pPr>
      <w:r>
        <w:rPr>
          <w:rFonts w:hint="eastAsia" w:cs="Times New Roman"/>
          <w:color w:val="000000"/>
          <w:sz w:val="24"/>
          <w:szCs w:val="24"/>
        </w:rPr>
        <w:t xml:space="preserve">2、</w:t>
      </w:r>
      <w:r>
        <w:rPr>
          <w:rFonts w:cs="Times New Roman"/>
          <w:color w:val="000000"/>
          <w:sz w:val="24"/>
          <w:szCs w:val="24"/>
        </w:rPr>
        <w:t xml:space="preserve">若</w:t>
      </w:r>
      <w:r>
        <w:rPr>
          <w:rFonts w:hint="eastAsia" w:cs="Times New Roman"/>
          <w:color w:val="000000"/>
          <w:sz w:val="24"/>
          <w:szCs w:val="24"/>
        </w:rPr>
        <w:t xml:space="preserve">投标</w:t>
      </w:r>
      <w:r>
        <w:rPr>
          <w:rFonts w:cs="Times New Roman"/>
          <w:color w:val="000000"/>
          <w:sz w:val="24"/>
          <w:szCs w:val="24"/>
        </w:rPr>
        <w:t xml:space="preserve">文件中全部签字之处均为法定代表人（单位负责人）本人签署，则可不提供本《</w:t>
      </w:r>
      <w:r>
        <w:rPr>
          <w:rFonts w:hint="eastAsia" w:cs="Times New Roman"/>
          <w:color w:val="000000"/>
          <w:sz w:val="24"/>
          <w:szCs w:val="24"/>
        </w:rPr>
        <w:t xml:space="preserve">授权委托书</w:t>
      </w:r>
      <w:r>
        <w:rPr>
          <w:rFonts w:cs="Times New Roman"/>
          <w:color w:val="000000"/>
          <w:sz w:val="24"/>
          <w:szCs w:val="24"/>
        </w:rPr>
        <w:t xml:space="preserve">》，但须提供</w:t>
      </w:r>
      <w:r>
        <w:rPr>
          <w:rFonts w:hint="eastAsia" w:cs="Times New Roman"/>
          <w:color w:val="000000"/>
          <w:sz w:val="24"/>
          <w:szCs w:val="24"/>
        </w:rPr>
        <w:t xml:space="preserve">《</w:t>
      </w:r>
      <w:r>
        <w:rPr>
          <w:rFonts w:cs="Times New Roman"/>
          <w:color w:val="000000"/>
          <w:sz w:val="24"/>
          <w:szCs w:val="24"/>
        </w:rPr>
        <w:t xml:space="preserve">法定代表人（单位负责人）身份证</w:t>
      </w:r>
      <w:r>
        <w:rPr>
          <w:rFonts w:hint="eastAsia" w:cs="Times New Roman"/>
          <w:color w:val="000000"/>
          <w:sz w:val="24"/>
          <w:szCs w:val="24"/>
        </w:rPr>
        <w:t xml:space="preserve">明》</w:t>
      </w:r>
      <w:r>
        <w:rPr>
          <w:rFonts w:cs="Times New Roman"/>
          <w:color w:val="000000"/>
          <w:sz w:val="24"/>
          <w:szCs w:val="24"/>
        </w:rPr>
        <w:t xml:space="preserve">。</w:t>
      </w:r>
      <w:r/>
    </w:p>
    <w:p>
      <w:pPr>
        <w:ind w:firstLine="480"/>
        <w:jc w:val="left"/>
        <w:spacing w:line="360" w:lineRule="auto"/>
        <w:tabs>
          <w:tab w:val="left" w:pos="5580" w:leader="none"/>
        </w:tabs>
        <w:rPr>
          <w:rFonts w:cs="Times New Roman"/>
          <w:color w:val="000000"/>
          <w:sz w:val="24"/>
          <w:szCs w:val="24"/>
        </w:rPr>
      </w:pPr>
      <w:r>
        <w:rPr>
          <w:rFonts w:cs="Times New Roman"/>
          <w:color w:val="000000"/>
          <w:sz w:val="24"/>
          <w:szCs w:val="24"/>
        </w:rPr>
        <w:t xml:space="preserve">3、</w:t>
      </w:r>
      <w:r>
        <w:rPr>
          <w:rFonts w:hint="eastAsia" w:cs="Times New Roman"/>
          <w:color w:val="000000"/>
          <w:sz w:val="24"/>
          <w:szCs w:val="24"/>
        </w:rPr>
        <w:t xml:space="preserve">供应商为自然人的情形，可不提供本</w:t>
      </w:r>
      <w:r>
        <w:rPr>
          <w:rFonts w:cs="Times New Roman"/>
          <w:color w:val="000000"/>
          <w:sz w:val="24"/>
          <w:szCs w:val="24"/>
        </w:rPr>
        <w:t xml:space="preserve">《</w:t>
      </w:r>
      <w:r>
        <w:rPr>
          <w:rFonts w:hint="eastAsia" w:cs="Times New Roman"/>
          <w:color w:val="000000"/>
          <w:sz w:val="24"/>
          <w:szCs w:val="24"/>
        </w:rPr>
        <w:t xml:space="preserve">授权委托书</w:t>
      </w:r>
      <w:r>
        <w:rPr>
          <w:rFonts w:cs="Times New Roman"/>
          <w:color w:val="000000"/>
          <w:sz w:val="24"/>
          <w:szCs w:val="24"/>
        </w:rPr>
        <w:t xml:space="preserve">》</w:t>
      </w:r>
      <w:r>
        <w:rPr>
          <w:rFonts w:hint="eastAsia" w:cs="Times New Roman"/>
          <w:color w:val="000000"/>
          <w:sz w:val="24"/>
          <w:szCs w:val="24"/>
        </w:rPr>
        <w:t xml:space="preserve">。</w:t>
      </w:r>
      <w:r/>
    </w:p>
    <w:p>
      <w:pPr>
        <w:ind w:firstLine="480"/>
        <w:jc w:val="left"/>
        <w:spacing w:line="360" w:lineRule="auto"/>
        <w:tabs>
          <w:tab w:val="left" w:pos="5580" w:leader="none"/>
        </w:tabs>
        <w:rPr>
          <w:rFonts w:cs="Times New Roman"/>
          <w:color w:val="000000"/>
          <w:sz w:val="24"/>
          <w:szCs w:val="24"/>
        </w:rPr>
      </w:pPr>
      <w:r>
        <w:rPr>
          <w:rFonts w:hint="eastAsia" w:cs="Times New Roman"/>
          <w:color w:val="000000"/>
          <w:sz w:val="24"/>
          <w:szCs w:val="24"/>
        </w:rPr>
        <w:t xml:space="preserve">4.</w:t>
      </w:r>
      <w:r>
        <w:rPr>
          <w:rFonts w:hint="eastAsia"/>
          <w:color w:val="000000"/>
          <w:sz w:val="24"/>
          <w:szCs w:val="24"/>
        </w:rPr>
        <w:t xml:space="preserve">请供应商如实填写联系方式并在评审过程中保持联系方式畅通，评审过程中如联系不上，由供应商承担一切不利后果。</w:t>
      </w:r>
      <w:r/>
    </w:p>
    <w:p>
      <w:pPr>
        <w:jc w:val="center"/>
        <w:spacing w:line="360" w:lineRule="exact"/>
        <w:rPr>
          <w:rFonts w:ascii="宋体" w:hAnsi="宋体" w:cs="Times New Roman"/>
          <w:b/>
          <w:color w:val="000000"/>
          <w:sz w:val="36"/>
          <w:szCs w:val="36"/>
        </w:rPr>
      </w:pPr>
      <w:r>
        <w:rPr>
          <w:rFonts w:ascii="宋体" w:hAnsi="宋体" w:cs="Times New Roman"/>
          <w:b/>
          <w:color w:val="000000"/>
          <w:sz w:val="36"/>
          <w:szCs w:val="36"/>
        </w:rPr>
        <w:t xml:space="preserve">法定代表人（单位负责人）身份证明</w:t>
      </w:r>
      <w:r/>
    </w:p>
    <w:p>
      <w:pPr>
        <w:spacing w:line="200" w:lineRule="exact"/>
        <w:rPr>
          <w:rFonts w:ascii="宋体" w:hAnsi="宋体" w:cs="Times New Roman"/>
          <w:color w:val="000000"/>
          <w:sz w:val="20"/>
          <w:szCs w:val="20"/>
        </w:rPr>
      </w:pPr>
      <w:r>
        <w:rPr>
          <w:rFonts w:ascii="宋体" w:hAnsi="宋体" w:cs="Times New Roman"/>
          <w:color w:val="000000"/>
          <w:sz w:val="20"/>
          <w:szCs w:val="20"/>
        </w:rPr>
      </w:r>
      <w:r/>
    </w:p>
    <w:p>
      <w:pPr>
        <w:spacing w:line="360" w:lineRule="auto"/>
        <w:tabs>
          <w:tab w:val="left" w:pos="5580" w:leader="none"/>
        </w:tabs>
        <w:rPr>
          <w:rFonts w:ascii="宋体" w:hAnsi="宋体" w:cs="Times New Roman"/>
          <w:color w:val="000000"/>
          <w:sz w:val="24"/>
          <w:szCs w:val="24"/>
        </w:rPr>
      </w:pPr>
      <w:r>
        <w:rPr>
          <w:rFonts w:ascii="宋体" w:hAnsi="宋体" w:cs="Times New Roman"/>
          <w:color w:val="000000"/>
          <w:sz w:val="24"/>
          <w:szCs w:val="24"/>
        </w:rPr>
        <w:t xml:space="preserve">致：</w:t>
      </w:r>
      <w:r>
        <w:rPr>
          <w:rFonts w:hint="eastAsia" w:ascii="Times New Roman" w:hAnsi="Times New Roman" w:cs="Times New Roman"/>
          <w:color w:val="000000"/>
          <w:sz w:val="24"/>
          <w:szCs w:val="24"/>
          <w:u w:val="single"/>
        </w:rPr>
        <w:t xml:space="preserve">采购单位</w:t>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ascii="宋体" w:hAnsi="宋体" w:cs="Times New Roman"/>
          <w:color w:val="000000"/>
          <w:sz w:val="24"/>
          <w:szCs w:val="24"/>
        </w:rPr>
      </w:pPr>
      <w:r>
        <w:rPr>
          <w:rFonts w:ascii="宋体" w:hAnsi="宋体" w:cs="Times New Roman"/>
          <w:color w:val="000000"/>
          <w:sz w:val="24"/>
          <w:szCs w:val="24"/>
        </w:rPr>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ascii="宋体" w:hAnsi="宋体" w:cs="Times New Roman"/>
          <w:color w:val="000000"/>
          <w:sz w:val="24"/>
          <w:szCs w:val="24"/>
        </w:rPr>
      </w:pPr>
      <w:r>
        <w:rPr>
          <w:rFonts w:hint="eastAsia" w:ascii="宋体" w:hAnsi="宋体" w:cs="Times New Roman"/>
          <w:color w:val="000000"/>
          <w:sz w:val="24"/>
          <w:szCs w:val="24"/>
        </w:rPr>
        <w:t xml:space="preserve">兹证明，</w:t>
      </w:r>
      <w:r>
        <w:rPr>
          <w:rFonts w:ascii="宋体" w:hAnsi="宋体" w:cs="Times New Roman"/>
          <w:color w:val="000000"/>
          <w:sz w:val="24"/>
          <w:szCs w:val="24"/>
        </w:rPr>
        <w:t xml:space="preserve">姓名</w:t>
      </w:r>
      <w:r>
        <w:rPr>
          <w:rFonts w:hint="eastAsia" w:ascii="宋体" w:hAnsi="宋体" w:cs="Times New Roman"/>
          <w:color w:val="000000"/>
          <w:sz w:val="24"/>
          <w:szCs w:val="24"/>
        </w:rPr>
        <w:t xml:space="preserve">：</w:t>
      </w:r>
      <w:r>
        <w:rPr>
          <w:rFonts w:ascii="宋体" w:hAnsi="宋体" w:cs="Times New Roman"/>
          <w:color w:val="000000"/>
          <w:sz w:val="24"/>
          <w:szCs w:val="24"/>
        </w:rPr>
        <w:t xml:space="preserve">性别：年龄：职务：系</w:t>
      </w:r>
      <w:r>
        <w:rPr>
          <w:rFonts w:cs="Times New Roman"/>
          <w:color w:val="000000"/>
          <w:sz w:val="24"/>
          <w:szCs w:val="24"/>
          <w:u w:val="single"/>
        </w:rPr>
        <w:t xml:space="preserve">（</w:t>
      </w:r>
      <w:r>
        <w:rPr>
          <w:rFonts w:hint="eastAsia" w:cs="Times New Roman"/>
          <w:color w:val="000000"/>
          <w:sz w:val="24"/>
          <w:szCs w:val="24"/>
          <w:u w:val="single"/>
        </w:rPr>
        <w:t xml:space="preserve">投标人</w:t>
      </w:r>
      <w:r>
        <w:rPr>
          <w:rFonts w:cs="Times New Roman"/>
          <w:color w:val="000000"/>
          <w:sz w:val="24"/>
          <w:szCs w:val="24"/>
          <w:u w:val="single"/>
        </w:rPr>
        <w:t xml:space="preserve">名称）</w:t>
      </w:r>
      <w:r>
        <w:rPr>
          <w:rFonts w:ascii="宋体" w:hAnsi="宋体" w:cs="Times New Roman"/>
          <w:color w:val="000000"/>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cs="Times New Roman"/>
          <w:color w:val="000000"/>
          <w:sz w:val="24"/>
          <w:szCs w:val="24"/>
        </w:rPr>
      </w:pPr>
      <w:r>
        <w:rPr>
          <w:rFonts w:ascii="宋体" w:hAnsi="宋体" w:cs="Times New Roman"/>
          <w:color w:val="000000"/>
          <w:sz w:val="24"/>
          <w:szCs w:val="24"/>
        </w:rPr>
      </w:r>
      <w:r/>
    </w:p>
    <w:p>
      <w:pPr>
        <w:ind w:right="-46"/>
        <w:spacing w:before="120" w:line="583" w:lineRule="auto"/>
        <w:tabs>
          <w:tab w:val="left" w:pos="567" w:leader="none"/>
        </w:tabs>
        <w:rPr>
          <w:rFonts w:ascii="宋体" w:hAnsi="宋体" w:cs="Times New Roman"/>
          <w:color w:val="000000"/>
          <w:spacing w:val="-3"/>
          <w:sz w:val="24"/>
          <w:szCs w:val="24"/>
        </w:rPr>
      </w:pPr>
      <w:r>
        <w:rPr>
          <w:rFonts w:ascii="宋体" w:hAnsi="宋体" w:cs="Times New Roman"/>
          <w:color w:val="000000"/>
          <w:sz w:val="24"/>
          <w:szCs w:val="24"/>
        </w:rPr>
        <w:t xml:space="preserve">附：</w:t>
      </w:r>
      <w:r>
        <w:rPr>
          <w:rFonts w:ascii="宋体" w:hAnsi="宋体" w:cs="Times New Roman"/>
          <w:color w:val="000000"/>
          <w:spacing w:val="-3"/>
          <w:sz w:val="24"/>
          <w:szCs w:val="24"/>
        </w:rPr>
        <w:t xml:space="preserve">法</w:t>
      </w:r>
      <w:r>
        <w:rPr>
          <w:rFonts w:ascii="宋体" w:hAnsi="宋体" w:cs="Times New Roman"/>
          <w:color w:val="000000"/>
          <w:sz w:val="24"/>
          <w:szCs w:val="24"/>
        </w:rPr>
        <w:t xml:space="preserve">定</w:t>
      </w:r>
      <w:r>
        <w:rPr>
          <w:rFonts w:ascii="宋体" w:hAnsi="宋体" w:cs="Times New Roman"/>
          <w:color w:val="000000"/>
          <w:spacing w:val="-3"/>
          <w:sz w:val="24"/>
          <w:szCs w:val="24"/>
        </w:rPr>
        <w:t xml:space="preserve">代</w:t>
      </w:r>
      <w:r>
        <w:rPr>
          <w:rFonts w:ascii="宋体" w:hAnsi="宋体" w:cs="Times New Roman"/>
          <w:color w:val="000000"/>
          <w:sz w:val="24"/>
          <w:szCs w:val="24"/>
        </w:rPr>
        <w:t xml:space="preserve">表</w:t>
      </w:r>
      <w:r>
        <w:rPr>
          <w:rFonts w:ascii="宋体" w:hAnsi="宋体" w:cs="Times New Roman"/>
          <w:color w:val="000000"/>
          <w:spacing w:val="-3"/>
          <w:sz w:val="24"/>
          <w:szCs w:val="24"/>
        </w:rPr>
        <w:t xml:space="preserve">人</w:t>
      </w:r>
      <w:r>
        <w:rPr>
          <w:rFonts w:ascii="宋体" w:hAnsi="宋体" w:cs="Times New Roman"/>
          <w:color w:val="000000"/>
          <w:sz w:val="24"/>
          <w:szCs w:val="24"/>
        </w:rPr>
        <w:t xml:space="preserve">（</w:t>
      </w:r>
      <w:r>
        <w:rPr>
          <w:rFonts w:ascii="宋体" w:hAnsi="宋体" w:cs="Times New Roman"/>
          <w:color w:val="000000"/>
          <w:spacing w:val="-3"/>
          <w:sz w:val="24"/>
          <w:szCs w:val="24"/>
        </w:rPr>
        <w:t xml:space="preserve">单</w:t>
      </w:r>
      <w:r>
        <w:rPr>
          <w:rFonts w:ascii="宋体" w:hAnsi="宋体" w:cs="Times New Roman"/>
          <w:color w:val="000000"/>
          <w:sz w:val="24"/>
          <w:szCs w:val="24"/>
        </w:rPr>
        <w:t xml:space="preserve">位</w:t>
      </w:r>
      <w:r>
        <w:rPr>
          <w:rFonts w:ascii="宋体" w:hAnsi="宋体" w:cs="Times New Roman"/>
          <w:color w:val="000000"/>
          <w:spacing w:val="-3"/>
          <w:sz w:val="24"/>
          <w:szCs w:val="24"/>
        </w:rPr>
        <w:t xml:space="preserve">负</w:t>
      </w:r>
      <w:r>
        <w:rPr>
          <w:rFonts w:ascii="宋体" w:hAnsi="宋体" w:cs="Times New Roman"/>
          <w:color w:val="000000"/>
          <w:sz w:val="24"/>
          <w:szCs w:val="24"/>
        </w:rPr>
        <w:t xml:space="preserve">责人</w:t>
      </w:r>
      <w:r>
        <w:rPr>
          <w:rFonts w:ascii="宋体" w:hAnsi="宋体" w:cs="Times New Roman"/>
          <w:color w:val="000000"/>
          <w:spacing w:val="-3"/>
          <w:sz w:val="24"/>
          <w:szCs w:val="24"/>
        </w:rPr>
        <w:t xml:space="preserve">）有效期内的身</w:t>
      </w:r>
      <w:r>
        <w:rPr>
          <w:rFonts w:hint="eastAsia" w:ascii="宋体" w:hAnsi="宋体" w:cs="Times New Roman"/>
          <w:color w:val="000000"/>
          <w:spacing w:val="-3"/>
          <w:sz w:val="24"/>
          <w:szCs w:val="24"/>
        </w:rPr>
        <w:t xml:space="preserve">份</w:t>
      </w:r>
      <w:r>
        <w:rPr>
          <w:rFonts w:ascii="宋体" w:hAnsi="宋体" w:cs="Times New Roman"/>
          <w:color w:val="000000"/>
          <w:spacing w:val="-3"/>
          <w:sz w:val="24"/>
          <w:szCs w:val="24"/>
        </w:rPr>
        <w:t xml:space="preserve">证正反面</w:t>
      </w:r>
      <w:r>
        <w:rPr>
          <w:rFonts w:hint="eastAsia" w:ascii="宋体" w:hAnsi="宋体" w:cs="Times New Roman"/>
          <w:color w:val="000000"/>
          <w:spacing w:val="-3"/>
          <w:sz w:val="24"/>
          <w:szCs w:val="24"/>
        </w:rPr>
        <w:t xml:space="preserve">电子</w:t>
      </w:r>
      <w:r>
        <w:rPr>
          <w:rFonts w:ascii="宋体" w:hAnsi="宋体" w:cs="Times New Roman"/>
          <w:color w:val="000000"/>
          <w:spacing w:val="-3"/>
          <w:sz w:val="24"/>
          <w:szCs w:val="24"/>
        </w:rPr>
        <w:t xml:space="preserve">件</w:t>
      </w:r>
      <w:r>
        <w:rPr>
          <w:rFonts w:hint="eastAsia" w:ascii="宋体" w:hAnsi="宋体" w:cs="Times New Roman"/>
          <w:color w:val="000000"/>
          <w:spacing w:val="-3"/>
          <w:sz w:val="24"/>
          <w:szCs w:val="24"/>
        </w:rPr>
        <w:t xml:space="preserve">。</w:t>
      </w:r>
      <w:r/>
    </w:p>
    <w:tbl>
      <w:tblPr>
        <w:tblStyle w:val="70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s="Times New Roman"/>
                <w:color w:val="000000"/>
                <w:sz w:val="24"/>
                <w:szCs w:val="20"/>
              </w:rPr>
            </w:pPr>
            <w:r>
              <w:rPr>
                <w:rFonts w:ascii="宋体" w:hAnsi="宋体" w:cs="Times New Roman"/>
                <w:color w:val="000000"/>
                <w:sz w:val="24"/>
                <w:szCs w:val="20"/>
              </w:rPr>
            </w:r>
            <w:r/>
          </w:p>
          <w:p>
            <w:pPr>
              <w:jc w:val="left"/>
              <w:spacing w:line="360" w:lineRule="auto"/>
              <w:tabs>
                <w:tab w:val="left" w:pos="5580" w:leader="none"/>
              </w:tabs>
              <w:rPr>
                <w:rFonts w:ascii="宋体" w:hAnsi="宋体" w:cs="Times New Roman"/>
                <w:color w:val="000000"/>
                <w:sz w:val="24"/>
                <w:szCs w:val="20"/>
              </w:rPr>
            </w:pPr>
            <w:r>
              <w:rPr>
                <w:rFonts w:ascii="宋体" w:hAnsi="宋体" w:cs="Times New Roman"/>
                <w:color w:val="000000"/>
                <w:sz w:val="24"/>
                <w:szCs w:val="20"/>
              </w:rPr>
            </w:r>
            <w:r/>
          </w:p>
          <w:p>
            <w:pPr>
              <w:jc w:val="left"/>
              <w:spacing w:line="360" w:lineRule="auto"/>
              <w:tabs>
                <w:tab w:val="left" w:pos="5580" w:leader="none"/>
              </w:tabs>
              <w:rPr>
                <w:rFonts w:ascii="宋体" w:hAnsi="宋体" w:cs="Times New Roman"/>
                <w:color w:val="000000"/>
                <w:sz w:val="24"/>
                <w:szCs w:val="20"/>
              </w:rPr>
            </w:pPr>
            <w:r>
              <w:rPr>
                <w:rFonts w:ascii="宋体" w:hAnsi="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cs="Times New Roman"/>
                <w:color w:val="000000"/>
                <w:sz w:val="24"/>
                <w:szCs w:val="20"/>
              </w:rPr>
            </w:pPr>
            <w:r>
              <w:rPr>
                <w:rFonts w:ascii="宋体" w:hAnsi="宋体" w:cs="Times New Roman"/>
                <w:color w:val="000000"/>
                <w:sz w:val="24"/>
                <w:szCs w:val="20"/>
              </w:rPr>
            </w:r>
            <w:r/>
          </w:p>
          <w:p>
            <w:pPr>
              <w:jc w:val="left"/>
              <w:spacing w:line="360" w:lineRule="auto"/>
              <w:tabs>
                <w:tab w:val="left" w:pos="5580" w:leader="none"/>
              </w:tabs>
              <w:rPr>
                <w:rFonts w:ascii="宋体" w:hAnsi="宋体" w:cs="Times New Roman"/>
                <w:color w:val="000000"/>
                <w:sz w:val="24"/>
                <w:szCs w:val="20"/>
              </w:rPr>
            </w:pPr>
            <w:r>
              <w:rPr>
                <w:rFonts w:ascii="宋体" w:hAnsi="宋体" w:cs="Times New Roman"/>
                <w:color w:val="000000"/>
                <w:sz w:val="24"/>
                <w:szCs w:val="20"/>
              </w:rPr>
            </w:r>
            <w:r/>
          </w:p>
          <w:p>
            <w:pPr>
              <w:jc w:val="left"/>
              <w:spacing w:line="360" w:lineRule="auto"/>
              <w:tabs>
                <w:tab w:val="left" w:pos="5580" w:leader="none"/>
              </w:tabs>
              <w:rPr>
                <w:rFonts w:ascii="宋体" w:hAnsi="宋体" w:cs="Times New Roman"/>
                <w:color w:val="000000"/>
                <w:sz w:val="24"/>
                <w:szCs w:val="20"/>
              </w:rPr>
            </w:pPr>
            <w:r>
              <w:rPr>
                <w:rFonts w:ascii="宋体" w:hAnsi="宋体" w:cs="Times New Roman"/>
                <w:color w:val="000000"/>
                <w:sz w:val="24"/>
                <w:szCs w:val="20"/>
              </w:rPr>
            </w:r>
            <w:r/>
          </w:p>
        </w:tc>
      </w:tr>
    </w:tbl>
    <w:p>
      <w:pPr>
        <w:ind w:right="4305"/>
        <w:spacing w:before="120" w:line="583" w:lineRule="auto"/>
        <w:tabs>
          <w:tab w:val="left" w:pos="567" w:leader="none"/>
        </w:tabs>
        <w:rPr>
          <w:rFonts w:ascii="宋体" w:hAnsi="宋体" w:cs="Times New Roman"/>
          <w:color w:val="000000"/>
          <w:spacing w:val="-3"/>
          <w:sz w:val="24"/>
          <w:szCs w:val="24"/>
        </w:rPr>
      </w:pPr>
      <w:r>
        <w:rPr>
          <w:rFonts w:ascii="宋体" w:hAnsi="宋体" w:cs="Times New Roman"/>
          <w:color w:val="000000"/>
          <w:spacing w:val="-3"/>
          <w:sz w:val="24"/>
          <w:szCs w:val="24"/>
        </w:rPr>
      </w:r>
      <w:r/>
    </w:p>
    <w:p>
      <w:pPr>
        <w:ind w:firstLine="480"/>
        <w:spacing w:line="360" w:lineRule="auto"/>
        <w:rPr>
          <w:rFonts w:cs="Times New Roman"/>
          <w:color w:val="000000"/>
          <w:sz w:val="24"/>
          <w:szCs w:val="24"/>
        </w:rPr>
      </w:pPr>
      <w:r>
        <w:rPr>
          <w:rFonts w:hint="eastAsia" w:ascii="宋体" w:hAnsi="宋体" w:cs="Times New Roman"/>
          <w:color w:val="000000"/>
          <w:sz w:val="24"/>
          <w:szCs w:val="24"/>
        </w:rPr>
        <w:t xml:space="preserve">投标人</w:t>
      </w:r>
      <w:r>
        <w:rPr>
          <w:rFonts w:ascii="宋体" w:hAnsi="宋体" w:cs="Times New Roman"/>
          <w:color w:val="000000"/>
          <w:sz w:val="24"/>
          <w:szCs w:val="24"/>
        </w:rPr>
        <w:t xml:space="preserve">名称（加盖公章）</w:t>
      </w:r>
      <w:r>
        <w:rPr>
          <w:rFonts w:ascii="宋体" w:hAnsi="宋体" w:cs="Times New Roman"/>
          <w:color w:val="000000"/>
          <w:sz w:val="24"/>
          <w:szCs w:val="24"/>
          <w:lang w:val="zh-CN"/>
        </w:rPr>
        <w:t xml:space="preserve">：</w:t>
      </w:r>
      <w:r/>
    </w:p>
    <w:p>
      <w:pPr>
        <w:ind w:firstLine="468"/>
        <w:spacing w:line="360" w:lineRule="auto"/>
        <w:rPr>
          <w:rFonts w:cs="Times New Roman"/>
          <w:color w:val="000000"/>
          <w:sz w:val="24"/>
          <w:szCs w:val="24"/>
        </w:rPr>
      </w:pPr>
      <w:r>
        <w:rPr>
          <w:rFonts w:hint="eastAsia" w:ascii="宋体" w:hAnsi="宋体" w:cs="Times New Roman"/>
          <w:color w:val="000000"/>
          <w:spacing w:val="-3"/>
          <w:sz w:val="24"/>
          <w:szCs w:val="24"/>
        </w:rPr>
        <w:t xml:space="preserve">法定代表人（</w:t>
      </w:r>
      <w:r>
        <w:rPr>
          <w:rFonts w:ascii="宋体" w:hAnsi="宋体" w:cs="Times New Roman"/>
          <w:color w:val="000000"/>
          <w:sz w:val="24"/>
          <w:szCs w:val="24"/>
        </w:rPr>
        <w:t xml:space="preserve">单位负责人</w:t>
      </w:r>
      <w:r>
        <w:rPr>
          <w:rFonts w:hint="eastAsia" w:ascii="宋体" w:hAnsi="宋体" w:cs="Times New Roman"/>
          <w:color w:val="000000"/>
          <w:spacing w:val="-3"/>
          <w:sz w:val="24"/>
          <w:szCs w:val="24"/>
        </w:rPr>
        <w:t xml:space="preserve">）（签字、签章或印鉴）：</w:t>
      </w:r>
      <w:r>
        <w:rPr>
          <w:rFonts w:hint="eastAsia" w:cs="Times New Roman"/>
          <w:color w:val="000000"/>
          <w:sz w:val="24"/>
          <w:szCs w:val="24"/>
        </w:rPr>
        <w:t xml:space="preserve">，联系电话：</w:t>
      </w:r>
      <w:r/>
    </w:p>
    <w:p>
      <w:pPr>
        <w:ind w:firstLine="480"/>
        <w:spacing w:line="360" w:lineRule="auto"/>
        <w:rPr>
          <w:rFonts w:cs="Times New Roman"/>
          <w:color w:val="000000"/>
          <w:sz w:val="24"/>
          <w:szCs w:val="24"/>
        </w:rPr>
      </w:pPr>
      <w:r>
        <w:rPr>
          <w:rFonts w:cs="Times New Roman"/>
          <w:color w:val="000000"/>
          <w:sz w:val="24"/>
          <w:szCs w:val="24"/>
        </w:rPr>
      </w:r>
      <w:r/>
    </w:p>
    <w:p>
      <w:pPr>
        <w:ind w:firstLine="480"/>
        <w:spacing w:line="360" w:lineRule="auto"/>
        <w:rPr>
          <w:rFonts w:cs="Times New Roman"/>
          <w:color w:val="000000"/>
          <w:sz w:val="24"/>
          <w:szCs w:val="24"/>
        </w:rPr>
      </w:pPr>
      <w:r>
        <w:rPr>
          <w:rFonts w:hint="eastAsia" w:cs="Times New Roman"/>
          <w:color w:val="000000"/>
          <w:sz w:val="24"/>
          <w:szCs w:val="24"/>
        </w:rPr>
        <w:t xml:space="preserve">日期：年月日</w:t>
      </w:r>
      <w:r/>
    </w:p>
    <w:p>
      <w:pPr>
        <w:ind w:firstLine="480"/>
        <w:jc w:val="left"/>
        <w:spacing w:line="360" w:lineRule="auto"/>
        <w:tabs>
          <w:tab w:val="left" w:pos="5580" w:leader="none"/>
        </w:tabs>
        <w:rPr>
          <w:color w:val="000000"/>
          <w:sz w:val="24"/>
          <w:szCs w:val="24"/>
        </w:rPr>
      </w:pPr>
      <w:r>
        <w:rPr>
          <w:color w:val="000000"/>
          <w:sz w:val="24"/>
          <w:szCs w:val="24"/>
        </w:rPr>
      </w:r>
      <w:r/>
    </w:p>
    <w:p>
      <w:pPr>
        <w:ind w:firstLine="480"/>
        <w:jc w:val="left"/>
        <w:spacing w:line="360" w:lineRule="auto"/>
        <w:tabs>
          <w:tab w:val="left" w:pos="5580" w:leader="none"/>
        </w:tabs>
        <w:rPr>
          <w:color w:val="000000"/>
          <w:sz w:val="24"/>
          <w:szCs w:val="24"/>
        </w:rPr>
      </w:pPr>
      <w:r>
        <w:rPr>
          <w:rFonts w:hint="eastAsia"/>
          <w:color w:val="000000"/>
          <w:sz w:val="24"/>
          <w:szCs w:val="24"/>
        </w:rPr>
        <w:t xml:space="preserve">注：请供应商如实填写联系方式并在评审过程中保持联系方式畅通，评审过程中如联系不上，由供应商承担一切不利后果。</w:t>
      </w:r>
      <w:r/>
    </w:p>
    <w:p>
      <w:pPr>
        <w:ind w:firstLine="480"/>
        <w:jc w:val="left"/>
        <w:spacing w:line="360" w:lineRule="auto"/>
        <w:tabs>
          <w:tab w:val="left" w:pos="5580" w:leader="none"/>
        </w:tabs>
        <w:rPr>
          <w:color w:val="000000"/>
          <w:sz w:val="24"/>
          <w:szCs w:val="24"/>
        </w:rPr>
      </w:pPr>
      <w:r>
        <w:rPr>
          <w:color w:val="000000"/>
          <w:sz w:val="24"/>
          <w:szCs w:val="24"/>
        </w:rPr>
      </w:r>
      <w:r/>
    </w:p>
    <w:p>
      <w:pPr>
        <w:ind w:firstLine="480"/>
        <w:jc w:val="left"/>
        <w:spacing w:line="360" w:lineRule="auto"/>
        <w:tabs>
          <w:tab w:val="left" w:pos="5580" w:leader="none"/>
        </w:tabs>
        <w:rPr>
          <w:color w:val="000000"/>
          <w:sz w:val="24"/>
          <w:szCs w:val="24"/>
        </w:rPr>
      </w:pPr>
      <w:r>
        <w:rPr>
          <w:color w:val="000000"/>
          <w:sz w:val="24"/>
          <w:szCs w:val="24"/>
        </w:rPr>
      </w:r>
      <w:r/>
    </w:p>
    <w:p>
      <w:pPr>
        <w:ind w:firstLine="480"/>
        <w:jc w:val="left"/>
        <w:spacing w:line="360" w:lineRule="auto"/>
        <w:tabs>
          <w:tab w:val="left" w:pos="5580" w:leader="none"/>
        </w:tabs>
        <w:rPr>
          <w:color w:val="000000"/>
          <w:sz w:val="24"/>
          <w:szCs w:val="24"/>
        </w:rPr>
      </w:pPr>
      <w:r>
        <w:rPr>
          <w:color w:val="000000"/>
          <w:sz w:val="24"/>
          <w:szCs w:val="24"/>
        </w:rPr>
      </w:r>
      <w:r/>
    </w:p>
    <w:p>
      <w:pPr>
        <w:ind w:firstLine="480"/>
        <w:jc w:val="left"/>
        <w:spacing w:line="360" w:lineRule="auto"/>
        <w:tabs>
          <w:tab w:val="left" w:pos="5580" w:leader="none"/>
        </w:tabs>
        <w:rPr>
          <w:color w:val="000000"/>
          <w:sz w:val="24"/>
          <w:szCs w:val="24"/>
        </w:rPr>
      </w:pPr>
      <w:r>
        <w:rPr>
          <w:color w:val="000000"/>
          <w:sz w:val="24"/>
          <w:szCs w:val="24"/>
        </w:rPr>
      </w:r>
      <w:r/>
    </w:p>
    <w:p>
      <w:pPr>
        <w:ind w:firstLine="480"/>
        <w:jc w:val="left"/>
        <w:spacing w:line="360" w:lineRule="auto"/>
        <w:tabs>
          <w:tab w:val="left" w:pos="5580" w:leader="none"/>
        </w:tabs>
        <w:rPr>
          <w:color w:val="000000"/>
          <w:sz w:val="24"/>
          <w:szCs w:val="24"/>
        </w:rPr>
      </w:pPr>
      <w:r>
        <w:rPr>
          <w:color w:val="000000"/>
          <w:sz w:val="24"/>
          <w:szCs w:val="24"/>
        </w:rPr>
      </w:r>
      <w:r/>
    </w:p>
    <w:p>
      <w:pPr>
        <w:ind w:firstLine="480"/>
        <w:jc w:val="left"/>
        <w:spacing w:line="360" w:lineRule="auto"/>
        <w:tabs>
          <w:tab w:val="left" w:pos="5580" w:leader="none"/>
        </w:tabs>
        <w:rPr>
          <w:color w:val="000000"/>
          <w:sz w:val="24"/>
          <w:szCs w:val="24"/>
        </w:rPr>
      </w:pPr>
      <w:r>
        <w:rPr>
          <w:color w:val="000000"/>
          <w:sz w:val="24"/>
          <w:szCs w:val="24"/>
        </w:rPr>
      </w:r>
      <w:r/>
    </w:p>
    <w:p>
      <w:pPr>
        <w:ind w:firstLine="480"/>
        <w:jc w:val="left"/>
        <w:spacing w:line="360" w:lineRule="auto"/>
        <w:tabs>
          <w:tab w:val="left" w:pos="5580" w:leader="none"/>
        </w:tabs>
        <w:rPr>
          <w:color w:val="000000"/>
          <w:sz w:val="24"/>
          <w:szCs w:val="24"/>
        </w:rPr>
      </w:pPr>
      <w:r>
        <w:rPr>
          <w:color w:val="000000"/>
          <w:sz w:val="24"/>
          <w:szCs w:val="24"/>
        </w:rPr>
      </w:r>
      <w:r/>
    </w:p>
    <w:p>
      <w:pPr>
        <w:ind w:firstLine="480"/>
        <w:jc w:val="left"/>
        <w:spacing w:line="360" w:lineRule="auto"/>
        <w:tabs>
          <w:tab w:val="left" w:pos="5580" w:leader="none"/>
        </w:tabs>
        <w:rPr>
          <w:color w:val="000000"/>
          <w:sz w:val="24"/>
          <w:szCs w:val="24"/>
        </w:rPr>
      </w:pPr>
      <w:r>
        <w:rPr>
          <w:color w:val="000000"/>
          <w:sz w:val="24"/>
          <w:szCs w:val="24"/>
        </w:rPr>
      </w:r>
      <w:r/>
    </w:p>
    <w:p>
      <w:pPr>
        <w:ind w:firstLine="480"/>
        <w:jc w:val="left"/>
        <w:spacing w:line="360" w:lineRule="auto"/>
        <w:tabs>
          <w:tab w:val="left" w:pos="5580" w:leader="none"/>
        </w:tabs>
        <w:rPr>
          <w:color w:val="000000"/>
          <w:sz w:val="24"/>
          <w:szCs w:val="24"/>
        </w:rPr>
      </w:pPr>
      <w:r>
        <w:rPr>
          <w:color w:val="000000"/>
          <w:sz w:val="24"/>
          <w:szCs w:val="24"/>
        </w:rPr>
      </w:r>
      <w:r/>
    </w:p>
    <w:p>
      <w:pPr>
        <w:jc w:val="left"/>
        <w:keepLines/>
        <w:keepNext/>
        <w:spacing w:before="260" w:after="260" w:line="416" w:lineRule="auto"/>
        <w:rPr>
          <w:rFonts w:ascii="Arial" w:hAnsi="Arial"/>
          <w:b/>
          <w:bCs/>
          <w:color w:val="000000"/>
          <w:sz w:val="36"/>
          <w:szCs w:val="36"/>
        </w:rPr>
        <w:outlineLvl w:val="1"/>
      </w:pPr>
      <w:r>
        <w:rPr>
          <w:rFonts w:hint="eastAsia" w:ascii="Arial" w:hAnsi="Arial"/>
          <w:b/>
          <w:iCs/>
          <w:color w:val="000000"/>
          <w:sz w:val="36"/>
        </w:rPr>
        <w:t xml:space="preserve">十、投标函</w:t>
      </w:r>
      <w:r/>
    </w:p>
    <w:p>
      <w:pPr>
        <w:jc w:val="center"/>
        <w:spacing w:line="360" w:lineRule="auto"/>
        <w:tabs>
          <w:tab w:val="left" w:pos="360" w:leader="none"/>
        </w:tabs>
        <w:rPr>
          <w:rFonts w:ascii="Times New Roman" w:hAnsi="Times New Roman" w:cs="Times New Roman"/>
          <w:color w:val="000000"/>
          <w:sz w:val="24"/>
          <w:szCs w:val="24"/>
        </w:rPr>
      </w:pPr>
      <w:r>
        <w:rPr>
          <w:rFonts w:hint="eastAsia" w:ascii="黑体" w:hAnsi="黑体" w:eastAsia="黑体" w:cs="宋体"/>
          <w:bCs/>
          <w:color w:val="000000"/>
          <w:sz w:val="36"/>
          <w:szCs w:val="28"/>
        </w:rPr>
        <w:t xml:space="preserve">投标函</w:t>
      </w:r>
      <w:r/>
    </w:p>
    <w:p>
      <w:pPr>
        <w:jc w:val="left"/>
        <w:spacing w:line="500" w:lineRule="exact"/>
        <w:rPr>
          <w:rFonts w:ascii="宋体" w:hAnsi="宋体" w:cs="Times New Roman"/>
          <w:color w:val="000000"/>
          <w:sz w:val="24"/>
          <w:szCs w:val="21"/>
        </w:rPr>
      </w:pPr>
      <w:r>
        <w:rPr>
          <w:rFonts w:hint="eastAsia" w:ascii="宋体" w:hAnsi="宋体" w:cs="Times New Roman"/>
          <w:color w:val="000000"/>
          <w:sz w:val="24"/>
          <w:szCs w:val="21"/>
        </w:rPr>
        <w:t xml:space="preserve">致：（采购人）</w:t>
      </w:r>
      <w:r/>
    </w:p>
    <w:p>
      <w:pPr>
        <w:ind w:firstLine="480"/>
        <w:jc w:val="left"/>
        <w:spacing w:line="500" w:lineRule="exact"/>
        <w:rPr>
          <w:rFonts w:ascii="宋体" w:hAnsi="宋体" w:cs="Times New Roman"/>
          <w:color w:val="000000"/>
          <w:sz w:val="24"/>
          <w:szCs w:val="21"/>
        </w:rPr>
      </w:pPr>
      <w:r>
        <w:rPr>
          <w:rFonts w:hint="eastAsia" w:ascii="宋体" w:hAnsi="宋体" w:cs="Times New Roman"/>
          <w:color w:val="000000"/>
          <w:sz w:val="24"/>
          <w:szCs w:val="21"/>
        </w:rPr>
        <w:t xml:space="preserve">根据贵方的JSZC-_________________号招标文件，正式授权下述签字人___________(姓名)代表我方______________（投标人的名称），全权处理本次项目投标的有关事宜。</w:t>
      </w:r>
      <w:r/>
    </w:p>
    <w:p>
      <w:pPr>
        <w:ind w:firstLine="480"/>
        <w:jc w:val="left"/>
        <w:spacing w:line="500" w:lineRule="exact"/>
        <w:rPr>
          <w:rFonts w:ascii="宋体" w:hAnsi="宋体" w:cs="Times New Roman"/>
          <w:color w:val="000000"/>
          <w:sz w:val="24"/>
          <w:szCs w:val="21"/>
        </w:rPr>
      </w:pPr>
      <w:r>
        <w:rPr>
          <w:rFonts w:hint="eastAsia" w:ascii="宋体" w:hAnsi="宋体" w:cs="Times New Roman"/>
          <w:color w:val="000000"/>
          <w:sz w:val="24"/>
          <w:szCs w:val="21"/>
        </w:rPr>
        <w:t xml:space="preserve">据此函，__________签字人兹宣布同意如下：</w:t>
      </w:r>
      <w:r/>
    </w:p>
    <w:p>
      <w:pPr>
        <w:ind w:firstLine="480"/>
        <w:jc w:val="left"/>
        <w:spacing w:line="500" w:lineRule="exact"/>
        <w:rPr>
          <w:rFonts w:ascii="宋体" w:hAnsi="宋体" w:cs="Times New Roman"/>
          <w:color w:val="000000"/>
          <w:sz w:val="24"/>
          <w:szCs w:val="21"/>
        </w:rPr>
      </w:pPr>
      <w:r>
        <w:rPr>
          <w:rFonts w:hint="eastAsia" w:ascii="宋体" w:hAnsi="宋体" w:cs="Times New Roman"/>
          <w:color w:val="000000"/>
          <w:sz w:val="24"/>
          <w:szCs w:val="21"/>
        </w:rPr>
        <w:t xml:space="preserve">1.按招标文件规定的各项要求，向买方提供所需服务（包含与服务相关的货物等）。</w:t>
      </w:r>
      <w:r/>
    </w:p>
    <w:p>
      <w:pPr>
        <w:ind w:firstLine="480"/>
        <w:jc w:val="left"/>
        <w:spacing w:line="500" w:lineRule="exact"/>
        <w:rPr>
          <w:rFonts w:ascii="宋体" w:hAnsi="宋体" w:cs="Times New Roman"/>
          <w:color w:val="000000"/>
          <w:sz w:val="24"/>
          <w:szCs w:val="21"/>
        </w:rPr>
      </w:pPr>
      <w:r>
        <w:rPr>
          <w:rFonts w:hint="eastAsia" w:ascii="宋体" w:hAnsi="宋体" w:cs="Times New Roman"/>
          <w:color w:val="000000"/>
          <w:sz w:val="24"/>
          <w:szCs w:val="21"/>
        </w:rPr>
        <w:t xml:space="preserve">2.我们完全理解贵方不一定将合同授予最低报价的投标人。</w:t>
      </w:r>
      <w:r/>
    </w:p>
    <w:p>
      <w:pPr>
        <w:ind w:firstLine="480"/>
        <w:jc w:val="left"/>
        <w:spacing w:line="500" w:lineRule="exact"/>
        <w:rPr>
          <w:rFonts w:ascii="宋体" w:hAnsi="宋体" w:cs="Times New Roman"/>
          <w:color w:val="000000"/>
          <w:sz w:val="24"/>
          <w:szCs w:val="21"/>
        </w:rPr>
      </w:pPr>
      <w:r>
        <w:rPr>
          <w:rFonts w:hint="eastAsia" w:ascii="宋体" w:hAnsi="宋体" w:cs="Times New Roman"/>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cs="Times New Roman"/>
          <w:color w:val="000000"/>
          <w:sz w:val="24"/>
          <w:szCs w:val="21"/>
        </w:rPr>
      </w:pPr>
      <w:r>
        <w:rPr>
          <w:rFonts w:hint="eastAsia" w:ascii="宋体" w:hAnsi="宋体" w:cs="Times New Roman"/>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ascii="宋体" w:hAnsi="宋体" w:cs="Times New Roman"/>
          <w:color w:val="000000"/>
          <w:sz w:val="24"/>
          <w:szCs w:val="21"/>
        </w:rPr>
      </w:pPr>
      <w:r>
        <w:rPr>
          <w:rFonts w:ascii="宋体" w:hAnsi="宋体" w:cs="Times New Roman"/>
          <w:color w:val="000000"/>
          <w:sz w:val="24"/>
          <w:szCs w:val="21"/>
        </w:rPr>
        <w:t xml:space="preserve">5</w:t>
      </w:r>
      <w:r>
        <w:rPr>
          <w:rFonts w:hint="eastAsia" w:ascii="宋体" w:hAnsi="宋体" w:cs="Times New Roman"/>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cs="Times New Roman"/>
          <w:color w:val="000000"/>
          <w:sz w:val="24"/>
          <w:szCs w:val="21"/>
        </w:rPr>
      </w:pPr>
      <w:r>
        <w:rPr>
          <w:rFonts w:ascii="宋体" w:hAnsi="宋体" w:cs="Times New Roman"/>
          <w:color w:val="000000"/>
          <w:sz w:val="24"/>
          <w:szCs w:val="21"/>
        </w:rPr>
        <w:t xml:space="preserve">6</w:t>
      </w:r>
      <w:r>
        <w:rPr>
          <w:rFonts w:hint="eastAsia" w:ascii="宋体" w:hAnsi="宋体" w:cs="Times New Roman"/>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cs="Times New Roman"/>
          <w:color w:val="000000"/>
          <w:sz w:val="24"/>
          <w:szCs w:val="21"/>
        </w:rPr>
      </w:pPr>
      <w:r>
        <w:rPr>
          <w:rFonts w:ascii="宋体" w:hAnsi="宋体" w:cs="Times New Roman"/>
          <w:color w:val="000000"/>
          <w:sz w:val="24"/>
          <w:szCs w:val="21"/>
        </w:rPr>
        <w:t xml:space="preserve">7</w:t>
      </w:r>
      <w:r>
        <w:rPr>
          <w:rFonts w:hint="eastAsia" w:ascii="宋体" w:hAnsi="宋体" w:cs="Times New Roman"/>
          <w:color w:val="000000"/>
          <w:sz w:val="24"/>
          <w:szCs w:val="21"/>
        </w:rPr>
        <w:t xml:space="preserve">.与本投标有关的正式通讯地址为：</w:t>
      </w:r>
      <w:r/>
    </w:p>
    <w:p>
      <w:pPr>
        <w:ind w:firstLine="480"/>
        <w:jc w:val="left"/>
        <w:spacing w:line="500" w:lineRule="exact"/>
        <w:rPr>
          <w:rFonts w:ascii="宋体" w:hAnsi="宋体" w:cs="Times New Roman"/>
          <w:color w:val="000000"/>
          <w:sz w:val="24"/>
          <w:szCs w:val="21"/>
        </w:rPr>
      </w:pPr>
      <w:r>
        <w:rPr>
          <w:rFonts w:hint="eastAsia" w:ascii="宋体" w:hAnsi="宋体" w:cs="Times New Roman"/>
          <w:color w:val="000000"/>
          <w:sz w:val="24"/>
          <w:szCs w:val="21"/>
        </w:rPr>
        <w:t xml:space="preserve">地  址：</w:t>
      </w:r>
      <w:r/>
    </w:p>
    <w:p>
      <w:pPr>
        <w:ind w:firstLine="480"/>
        <w:jc w:val="left"/>
        <w:spacing w:line="500" w:lineRule="exact"/>
        <w:rPr>
          <w:rFonts w:ascii="宋体" w:hAnsi="宋体" w:cs="Times New Roman"/>
          <w:color w:val="000000"/>
          <w:sz w:val="24"/>
          <w:szCs w:val="21"/>
        </w:rPr>
      </w:pPr>
      <w:r>
        <w:rPr>
          <w:rFonts w:hint="eastAsia" w:ascii="宋体" w:hAnsi="宋体" w:cs="Times New Roman"/>
          <w:color w:val="000000"/>
          <w:sz w:val="24"/>
          <w:szCs w:val="21"/>
        </w:rPr>
        <w:t xml:space="preserve">邮  编：</w:t>
      </w:r>
      <w:r/>
    </w:p>
    <w:p>
      <w:pPr>
        <w:ind w:firstLine="480"/>
        <w:jc w:val="left"/>
        <w:spacing w:line="500" w:lineRule="exact"/>
        <w:rPr>
          <w:rFonts w:ascii="宋体" w:hAnsi="宋体" w:cs="Times New Roman"/>
          <w:color w:val="000000"/>
          <w:sz w:val="24"/>
          <w:szCs w:val="21"/>
        </w:rPr>
      </w:pPr>
      <w:r>
        <w:rPr>
          <w:rFonts w:hint="eastAsia" w:ascii="宋体" w:hAnsi="宋体" w:cs="Times New Roman"/>
          <w:color w:val="000000"/>
          <w:sz w:val="24"/>
          <w:szCs w:val="21"/>
        </w:rPr>
        <w:t xml:space="preserve">电  话：</w:t>
      </w:r>
      <w:r/>
    </w:p>
    <w:p>
      <w:pPr>
        <w:ind w:firstLine="480"/>
        <w:jc w:val="left"/>
        <w:spacing w:line="500" w:lineRule="exact"/>
        <w:rPr>
          <w:rFonts w:ascii="宋体" w:hAnsi="宋体" w:cs="Times New Roman"/>
          <w:color w:val="000000"/>
          <w:sz w:val="24"/>
          <w:szCs w:val="21"/>
        </w:rPr>
      </w:pPr>
      <w:r>
        <w:rPr>
          <w:rFonts w:hint="eastAsia" w:ascii="宋体" w:hAnsi="宋体" w:cs="Times New Roman"/>
          <w:color w:val="000000"/>
          <w:sz w:val="24"/>
          <w:szCs w:val="21"/>
        </w:rPr>
        <w:t xml:space="preserve">传   真：</w:t>
      </w:r>
      <w:r/>
    </w:p>
    <w:p>
      <w:pPr>
        <w:ind w:firstLine="480"/>
        <w:jc w:val="left"/>
        <w:spacing w:line="500" w:lineRule="exact"/>
        <w:rPr>
          <w:rFonts w:ascii="宋体" w:hAnsi="宋体" w:cs="Times New Roman"/>
          <w:color w:val="000000"/>
          <w:sz w:val="24"/>
          <w:szCs w:val="21"/>
        </w:rPr>
      </w:pPr>
      <w:r>
        <w:rPr>
          <w:rFonts w:hint="eastAsia" w:ascii="宋体" w:hAnsi="宋体" w:cs="Times New Roman"/>
          <w:color w:val="000000"/>
          <w:sz w:val="24"/>
          <w:szCs w:val="21"/>
        </w:rPr>
        <w:t xml:space="preserve">投标人开户行：</w:t>
      </w:r>
      <w:r/>
    </w:p>
    <w:p>
      <w:pPr>
        <w:ind w:firstLine="480"/>
        <w:jc w:val="left"/>
        <w:spacing w:line="500" w:lineRule="exact"/>
        <w:rPr>
          <w:color w:val="000000"/>
        </w:rPr>
      </w:pPr>
      <w:r>
        <w:rPr>
          <w:rFonts w:hint="eastAsia" w:ascii="宋体" w:hAnsi="宋体" w:cs="Times New Roman"/>
          <w:color w:val="000000"/>
          <w:sz w:val="24"/>
          <w:szCs w:val="21"/>
        </w:rPr>
        <w:t xml:space="preserve">账   号： </w:t>
      </w:r>
      <w:r/>
    </w:p>
    <w:p>
      <w:pPr>
        <w:rPr>
          <w:color w:val="000000"/>
        </w:rPr>
      </w:pPr>
      <w:r>
        <w:rPr>
          <w:color w:val="000000"/>
        </w:rPr>
      </w:r>
      <w:r/>
    </w:p>
    <w:p>
      <w:pPr>
        <w:ind w:firstLine="480"/>
        <w:spacing w:line="360" w:lineRule="auto"/>
        <w:rPr>
          <w:rFonts w:ascii="Times New Roman" w:hAnsi="Times New Roman" w:cs="Times New Roman"/>
          <w:color w:val="000000"/>
          <w:sz w:val="24"/>
          <w:szCs w:val="24"/>
        </w:rPr>
      </w:pPr>
      <w:r>
        <w:rPr>
          <w:rFonts w:hint="eastAsia" w:ascii="Times New Roman" w:hAnsi="Times New Roman" w:cs="Times New Roman"/>
          <w:color w:val="000000"/>
          <w:sz w:val="24"/>
          <w:szCs w:val="24"/>
        </w:rPr>
        <w:t xml:space="preserve">投标人（盖章）：</w:t>
      </w:r>
      <w:r/>
    </w:p>
    <w:p>
      <w:pPr>
        <w:ind w:firstLine="480"/>
        <w:spacing w:line="360" w:lineRule="auto"/>
        <w:rPr>
          <w:rFonts w:ascii="Times New Roman" w:hAnsi="Times New Roman" w:cs="Times New Roman"/>
          <w:color w:val="000000"/>
          <w:sz w:val="24"/>
          <w:szCs w:val="24"/>
        </w:rPr>
      </w:pPr>
      <w:r>
        <w:rPr>
          <w:rFonts w:hint="eastAsia" w:ascii="Times New Roman" w:hAnsi="Times New Roman" w:cs="Times New Roman"/>
          <w:color w:val="000000"/>
          <w:sz w:val="24"/>
          <w:szCs w:val="24"/>
        </w:rPr>
        <w:t xml:space="preserve">法定代表人</w:t>
      </w:r>
      <w:r>
        <w:rPr>
          <w:rFonts w:cs="Times New Roman"/>
          <w:color w:val="000000"/>
          <w:sz w:val="24"/>
          <w:szCs w:val="24"/>
        </w:rPr>
        <w:t xml:space="preserve">（单位负责人）</w:t>
      </w:r>
      <w:r>
        <w:rPr>
          <w:rFonts w:hint="eastAsia" w:ascii="Times New Roman" w:hAnsi="Times New Roman" w:cs="Times New Roman"/>
          <w:color w:val="000000"/>
          <w:sz w:val="24"/>
          <w:szCs w:val="24"/>
        </w:rPr>
        <w:t xml:space="preserve">或委托代理人（签字或盖章）：</w:t>
      </w:r>
      <w:r/>
    </w:p>
    <w:p>
      <w:pPr>
        <w:ind w:firstLine="480"/>
        <w:spacing w:line="500" w:lineRule="exact"/>
        <w:rPr>
          <w:rFonts w:ascii="Arial" w:hAnsi="Arial"/>
          <w:b/>
          <w:color w:val="000000"/>
          <w:sz w:val="36"/>
        </w:rPr>
      </w:pPr>
      <w:r>
        <w:rPr>
          <w:rFonts w:hint="eastAsia" w:ascii="Times New Roman" w:hAnsi="Times New Roman" w:cs="Times New Roman"/>
          <w:color w:val="000000"/>
          <w:sz w:val="24"/>
          <w:szCs w:val="24"/>
        </w:rPr>
        <w:t xml:space="preserve">日期：年月日</w:t>
      </w:r>
      <w:r/>
    </w:p>
    <w:p>
      <w:pPr>
        <w:jc w:val="left"/>
        <w:keepLines/>
        <w:keepNext/>
        <w:spacing w:before="360" w:after="200" w:line="360" w:lineRule="auto"/>
        <w:rPr>
          <w:rFonts w:ascii="Arial" w:hAnsi="Arial"/>
          <w:b/>
          <w:color w:val="000000"/>
          <w:sz w:val="36"/>
        </w:rPr>
        <w:outlineLvl w:val="1"/>
      </w:pPr>
      <w:r>
        <w:rPr>
          <w:rFonts w:hint="eastAsia" w:ascii="Arial" w:hAnsi="Arial"/>
          <w:b/>
          <w:color w:val="000000"/>
          <w:sz w:val="36"/>
        </w:rPr>
        <w:t xml:space="preserve">十一、中小企业声明函（服务）</w:t>
      </w:r>
      <w:r/>
    </w:p>
    <w:p>
      <w:pPr>
        <w:jc w:val="center"/>
        <w:spacing w:line="360" w:lineRule="auto"/>
        <w:tabs>
          <w:tab w:val="left" w:pos="360" w:leader="none"/>
        </w:tabs>
        <w:rPr>
          <w:rFonts w:ascii="宋体" w:hAnsi="宋体" w:cs="Times New Roman"/>
          <w:color w:val="000000"/>
          <w:sz w:val="24"/>
          <w:szCs w:val="24"/>
        </w:rPr>
      </w:pPr>
      <w:r>
        <w:rPr>
          <w:rFonts w:hint="eastAsia" w:ascii="黑体" w:hAnsi="黑体" w:eastAsia="黑体" w:cs="宋体"/>
          <w:bCs/>
          <w:color w:val="000000"/>
          <w:sz w:val="36"/>
          <w:szCs w:val="28"/>
        </w:rPr>
        <w:t xml:space="preserve">中小企业声明函</w:t>
      </w:r>
      <w:r/>
    </w:p>
    <w:p>
      <w:pPr>
        <w:ind w:firstLine="480"/>
        <w:spacing w:line="500" w:lineRule="exact"/>
        <w:rPr>
          <w:rFonts w:ascii="宋体" w:hAnsi="宋体"/>
          <w:color w:val="000000"/>
          <w:sz w:val="24"/>
        </w:rPr>
      </w:pPr>
      <w:r>
        <w:rPr>
          <w:rFonts w:hint="eastAsia" w:ascii="宋体" w:hAnsi="宋体" w:cs="Times New Roman"/>
          <w:color w:val="000000"/>
          <w:sz w:val="24"/>
          <w:szCs w:val="24"/>
        </w:rPr>
        <w:t xml:space="preserve">本公司（联合体）郑重声明，根据《政府采购促进中小企业发展管理办法》(财库〔2020〕46号)的规定，本公司（联合体）参加</w:t>
      </w:r>
      <w:r>
        <w:rPr>
          <w:rFonts w:hint="eastAsia" w:ascii="宋体" w:hAnsi="宋体" w:cs="Times New Roman"/>
          <w:color w:val="000000"/>
          <w:sz w:val="24"/>
          <w:szCs w:val="24"/>
          <w:u w:val="single"/>
        </w:rPr>
        <w:t xml:space="preserve">（单位名称）</w:t>
      </w:r>
      <w:r>
        <w:rPr>
          <w:rFonts w:hint="eastAsia" w:ascii="宋体" w:hAnsi="宋体" w:cs="Times New Roman"/>
          <w:color w:val="000000"/>
          <w:sz w:val="24"/>
          <w:szCs w:val="24"/>
        </w:rPr>
        <w:t xml:space="preserve">的</w:t>
      </w:r>
      <w:r>
        <w:rPr>
          <w:rFonts w:hint="eastAsia" w:ascii="宋体" w:hAnsi="宋体" w:cs="Times New Roman"/>
          <w:color w:val="000000"/>
          <w:sz w:val="24"/>
          <w:szCs w:val="24"/>
          <w:u w:val="single"/>
        </w:rPr>
        <w:t xml:space="preserve">（项目名称）</w:t>
      </w:r>
      <w:r>
        <w:rPr>
          <w:rFonts w:hint="eastAsia" w:ascii="宋体" w:hAnsi="宋体" w:cs="Times New Roman"/>
          <w:color w:val="000000"/>
          <w:sz w:val="24"/>
          <w:szCs w:val="24"/>
        </w:rPr>
        <w:t xml:space="preserve">（项目编号：，分包号：）采购活动，提供的</w:t>
      </w:r>
      <w:r>
        <w:rPr>
          <w:rFonts w:ascii="宋体" w:hAnsi="宋体"/>
          <w:color w:val="000000"/>
          <w:sz w:val="24"/>
        </w:rPr>
        <w:t xml:space="preserve">服务全部由符合政策要求的中小企业承接。</w:t>
      </w:r>
      <w:r/>
    </w:p>
    <w:p>
      <w:pPr>
        <w:ind w:firstLine="480"/>
        <w:spacing w:line="500" w:lineRule="exact"/>
        <w:rPr>
          <w:rFonts w:ascii="宋体" w:hAnsi="宋体" w:cs="Times New Roman"/>
          <w:i/>
          <w:color w:val="000000"/>
          <w:sz w:val="24"/>
          <w:szCs w:val="24"/>
          <w:u w:val="single"/>
        </w:rPr>
      </w:pPr>
      <w:r>
        <w:rPr>
          <w:rFonts w:hint="eastAsia" w:ascii="宋体" w:hAnsi="宋体" w:cs="Times New Roman"/>
          <w:color w:val="000000"/>
          <w:sz w:val="24"/>
          <w:szCs w:val="24"/>
          <w:u w:val="single"/>
        </w:rPr>
        <w:t xml:space="preserve">（标的名称）</w:t>
      </w:r>
      <w:r>
        <w:rPr>
          <w:rFonts w:hint="eastAsia" w:ascii="宋体" w:hAnsi="宋体" w:cs="Times New Roman"/>
          <w:color w:val="000000"/>
          <w:sz w:val="24"/>
          <w:szCs w:val="24"/>
        </w:rPr>
        <w:t xml:space="preserve">，属于</w:t>
      </w:r>
      <w:r>
        <w:rPr>
          <w:rFonts w:hint="eastAsia" w:ascii="宋体" w:hAnsi="宋体" w:cs="Times New Roman"/>
          <w:color w:val="000000"/>
          <w:sz w:val="24"/>
          <w:szCs w:val="24"/>
          <w:u w:val="single"/>
        </w:rPr>
        <w:t xml:space="preserve">（采购文件中明确的所属行业）</w:t>
      </w:r>
      <w:r>
        <w:rPr>
          <w:rFonts w:hint="eastAsia" w:ascii="宋体" w:hAnsi="宋体" w:cs="Times New Roman"/>
          <w:color w:val="000000"/>
          <w:sz w:val="24"/>
          <w:szCs w:val="24"/>
        </w:rPr>
        <w:t xml:space="preserve">行业；承接企业为</w:t>
      </w:r>
      <w:r>
        <w:rPr>
          <w:rFonts w:hint="eastAsia" w:ascii="宋体" w:hAnsi="宋体" w:cs="Times New Roman"/>
          <w:color w:val="000000"/>
          <w:sz w:val="24"/>
          <w:szCs w:val="24"/>
          <w:u w:val="single"/>
        </w:rPr>
        <w:t xml:space="preserve">（企业名称）</w:t>
      </w:r>
      <w:r>
        <w:rPr>
          <w:rFonts w:hint="eastAsia" w:ascii="宋体" w:hAnsi="宋体" w:cs="Times New Roman"/>
          <w:color w:val="000000"/>
          <w:sz w:val="24"/>
          <w:szCs w:val="24"/>
        </w:rPr>
        <w:t xml:space="preserve">，从业人员</w:t>
      </w:r>
      <w:r>
        <w:rPr>
          <w:rFonts w:hint="eastAsia" w:cs="Times New Roman"/>
          <w:color w:val="000000"/>
          <w:sz w:val="24"/>
          <w:szCs w:val="24"/>
          <w:u w:val="single"/>
        </w:rPr>
        <w:t xml:space="preserve">            </w:t>
      </w:r>
      <w:r>
        <w:rPr>
          <w:rFonts w:hint="eastAsia" w:ascii="宋体" w:hAnsi="宋体" w:cs="Times New Roman"/>
          <w:color w:val="000000"/>
          <w:sz w:val="24"/>
          <w:szCs w:val="24"/>
        </w:rPr>
        <w:t xml:space="preserve">人，营业收入为</w:t>
      </w:r>
      <w:r>
        <w:rPr>
          <w:rFonts w:hint="eastAsia" w:cs="Times New Roman"/>
          <w:color w:val="000000"/>
          <w:sz w:val="24"/>
          <w:szCs w:val="24"/>
          <w:u w:val="single"/>
        </w:rPr>
        <w:t xml:space="preserve">            </w:t>
      </w:r>
      <w:r>
        <w:rPr>
          <w:rFonts w:hint="eastAsia" w:ascii="宋体" w:hAnsi="宋体" w:cs="Times New Roman"/>
          <w:color w:val="000000"/>
          <w:sz w:val="24"/>
          <w:szCs w:val="24"/>
        </w:rPr>
        <w:t xml:space="preserve">万元，资产总额为</w:t>
      </w:r>
      <w:r>
        <w:rPr>
          <w:rFonts w:hint="eastAsia" w:cs="Times New Roman"/>
          <w:color w:val="000000"/>
          <w:sz w:val="24"/>
          <w:szCs w:val="24"/>
          <w:u w:val="single"/>
        </w:rPr>
        <w:t xml:space="preserve">            </w:t>
      </w:r>
      <w:r>
        <w:rPr>
          <w:rFonts w:hint="eastAsia" w:ascii="宋体" w:hAnsi="宋体" w:cs="Times New Roman"/>
          <w:color w:val="000000"/>
          <w:sz w:val="24"/>
          <w:szCs w:val="24"/>
        </w:rPr>
        <w:t xml:space="preserve">万元，属于</w:t>
      </w:r>
      <w:r>
        <w:rPr>
          <w:rFonts w:hint="eastAsia" w:ascii="宋体" w:hAnsi="宋体" w:cs="Times New Roman"/>
          <w:color w:val="000000"/>
          <w:sz w:val="24"/>
          <w:szCs w:val="24"/>
          <w:u w:val="single"/>
        </w:rPr>
        <w:t xml:space="preserve">（中型企业、小型企业、微型企业）</w:t>
      </w:r>
      <w:r>
        <w:rPr>
          <w:rFonts w:hint="eastAsia" w:ascii="宋体" w:hAnsi="宋体" w:cs="Times New Roman"/>
          <w:color w:val="000000"/>
          <w:sz w:val="24"/>
          <w:szCs w:val="24"/>
        </w:rPr>
        <w:t xml:space="preserve">；</w:t>
      </w:r>
      <w:r/>
    </w:p>
    <w:p>
      <w:pPr>
        <w:ind w:firstLine="480"/>
        <w:spacing w:line="500" w:lineRule="exact"/>
        <w:rPr>
          <w:rFonts w:ascii="宋体" w:hAnsi="宋体" w:cs="Times New Roman"/>
          <w:color w:val="000000"/>
          <w:sz w:val="24"/>
          <w:szCs w:val="24"/>
        </w:rPr>
      </w:pPr>
      <w:r>
        <w:rPr>
          <w:rFonts w:hint="eastAsia" w:ascii="宋体" w:hAnsi="宋体" w:cs="Times New Roman"/>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cs="Times New Roman"/>
          <w:color w:val="000000"/>
          <w:sz w:val="24"/>
          <w:szCs w:val="24"/>
        </w:rPr>
      </w:pPr>
      <w:r>
        <w:rPr>
          <w:rFonts w:hint="eastAsia" w:ascii="宋体" w:hAnsi="宋体" w:cs="Times New Roman"/>
          <w:color w:val="000000"/>
          <w:sz w:val="24"/>
          <w:szCs w:val="24"/>
        </w:rPr>
        <w:t xml:space="preserve">本企业对上述声明内容的真实性负责。如有虚假，将依法承担相应责任。</w:t>
      </w:r>
      <w:r/>
    </w:p>
    <w:p>
      <w:pPr>
        <w:ind w:right="1620"/>
        <w:spacing w:line="560" w:lineRule="exact"/>
        <w:rPr>
          <w:rFonts w:ascii="宋体" w:hAnsi="宋体" w:cs="Times New Roman"/>
          <w:color w:val="000000"/>
          <w:sz w:val="24"/>
          <w:szCs w:val="24"/>
        </w:rPr>
      </w:pPr>
      <w:r>
        <w:rPr>
          <w:rFonts w:ascii="宋体" w:hAnsi="宋体" w:cs="Times New Roman"/>
          <w:color w:val="000000"/>
          <w:sz w:val="24"/>
          <w:szCs w:val="24"/>
        </w:rPr>
      </w:r>
      <w:r/>
    </w:p>
    <w:p>
      <w:pPr>
        <w:ind w:right="1620" w:firstLine="2880"/>
        <w:spacing w:line="560" w:lineRule="exact"/>
        <w:rPr>
          <w:rFonts w:ascii="宋体" w:hAnsi="宋体" w:cs="Times New Roman"/>
          <w:color w:val="000000"/>
          <w:sz w:val="24"/>
          <w:szCs w:val="24"/>
        </w:rPr>
      </w:pPr>
      <w:r>
        <w:rPr>
          <w:rFonts w:hint="eastAsia" w:ascii="宋体" w:hAnsi="宋体" w:cs="Times New Roman"/>
          <w:color w:val="000000"/>
          <w:sz w:val="24"/>
          <w:szCs w:val="24"/>
        </w:rPr>
        <w:t xml:space="preserve">企业名称（盖章）：</w:t>
      </w:r>
      <w:r/>
    </w:p>
    <w:p>
      <w:pPr>
        <w:ind w:right="1140" w:firstLine="2880"/>
        <w:spacing w:line="560" w:lineRule="exact"/>
        <w:rPr>
          <w:rFonts w:ascii="宋体" w:hAnsi="宋体" w:cs="Times New Roman"/>
          <w:color w:val="000000"/>
          <w:sz w:val="24"/>
          <w:szCs w:val="24"/>
        </w:rPr>
      </w:pPr>
      <w:r>
        <w:rPr>
          <w:rFonts w:hint="eastAsia" w:ascii="宋体" w:hAnsi="宋体" w:cs="Times New Roman"/>
          <w:color w:val="000000"/>
          <w:sz w:val="24"/>
          <w:szCs w:val="24"/>
        </w:rPr>
        <w:t xml:space="preserve">日  期：</w:t>
      </w:r>
      <w:r/>
    </w:p>
    <w:p>
      <w:pPr>
        <w:ind w:right="480"/>
        <w:jc w:val="left"/>
        <w:spacing w:line="360" w:lineRule="auto"/>
        <w:rPr>
          <w:rFonts w:ascii="宋体" w:hAnsi="宋体" w:cs="Times New Roman"/>
          <w:color w:val="000000"/>
          <w:sz w:val="24"/>
          <w:szCs w:val="24"/>
        </w:rPr>
      </w:pPr>
      <w:r>
        <w:rPr>
          <w:rFonts w:ascii="宋体" w:hAnsi="宋体" w:cs="Times New Roman"/>
          <w:color w:val="000000"/>
          <w:sz w:val="24"/>
          <w:szCs w:val="24"/>
        </w:rPr>
      </w:r>
      <w:r/>
    </w:p>
    <w:p>
      <w:pPr>
        <w:ind w:right="480"/>
        <w:jc w:val="left"/>
        <w:spacing w:line="360" w:lineRule="auto"/>
        <w:rPr>
          <w:rFonts w:ascii="宋体" w:hAnsi="宋体" w:cs="Times New Roman"/>
          <w:color w:val="000000"/>
          <w:sz w:val="24"/>
          <w:szCs w:val="24"/>
        </w:rPr>
      </w:pPr>
      <w:r>
        <w:rPr>
          <w:rFonts w:ascii="宋体" w:hAnsi="宋体" w:cs="Times New Roman"/>
          <w:color w:val="000000"/>
          <w:sz w:val="24"/>
          <w:szCs w:val="24"/>
        </w:rPr>
      </w:r>
      <w:r/>
    </w:p>
    <w:p>
      <w:pPr>
        <w:ind w:right="480"/>
        <w:jc w:val="left"/>
        <w:spacing w:line="360" w:lineRule="auto"/>
        <w:rPr>
          <w:rFonts w:ascii="宋体" w:hAnsi="宋体" w:cs="Times New Roman"/>
          <w:color w:val="000000"/>
          <w:sz w:val="24"/>
          <w:szCs w:val="24"/>
        </w:rPr>
      </w:pPr>
      <w:r>
        <w:rPr>
          <w:rFonts w:hint="eastAsia" w:ascii="宋体" w:hAnsi="宋体" w:cs="Times New Roman"/>
          <w:color w:val="000000"/>
          <w:sz w:val="24"/>
          <w:szCs w:val="24"/>
        </w:rPr>
        <w:t xml:space="preserve">填报说明：</w:t>
      </w:r>
      <w:r/>
    </w:p>
    <w:p>
      <w:pPr>
        <w:ind w:firstLine="480"/>
        <w:spacing w:line="360" w:lineRule="auto"/>
        <w:rPr>
          <w:rFonts w:ascii="宋体" w:hAnsi="宋体" w:cs="Times New Roman"/>
          <w:color w:val="000000"/>
          <w:sz w:val="24"/>
          <w:szCs w:val="24"/>
        </w:rPr>
      </w:pPr>
      <w:r>
        <w:rPr>
          <w:rFonts w:hint="eastAsia" w:ascii="宋体" w:hAnsi="宋体" w:cs="Times New Roman"/>
          <w:color w:val="000000"/>
          <w:sz w:val="24"/>
          <w:szCs w:val="24"/>
        </w:rPr>
        <w:t xml:space="preserve">1.</w:t>
      </w:r>
      <w:r>
        <w:rPr>
          <w:rFonts w:ascii="宋体" w:hAnsi="宋体" w:cs="Times New Roman"/>
          <w:color w:val="000000"/>
          <w:sz w:val="24"/>
          <w:szCs w:val="24"/>
        </w:rPr>
        <w:t xml:space="preserve">从业人员、营业收入、资产总额填报上一年度数据，无上一年度数据的新成立企业可不填报。</w:t>
      </w:r>
      <w:r/>
    </w:p>
    <w:p>
      <w:pPr>
        <w:ind w:firstLine="480"/>
        <w:spacing w:line="360" w:lineRule="auto"/>
        <w:rPr>
          <w:rFonts w:ascii="宋体" w:hAnsi="宋体" w:cs="Times New Roman"/>
          <w:color w:val="000000"/>
          <w:sz w:val="24"/>
          <w:szCs w:val="24"/>
        </w:rPr>
      </w:pPr>
      <w:r>
        <w:rPr>
          <w:rFonts w:hint="eastAsia" w:ascii="宋体" w:hAnsi="宋体" w:cs="Times New Roman"/>
          <w:color w:val="000000"/>
          <w:sz w:val="24"/>
          <w:szCs w:val="24"/>
        </w:rPr>
        <w:t xml:space="preserve">2.《中小企业声明函》随中标结果公开，须同时加盖投标人公章。</w:t>
      </w:r>
      <w:r/>
    </w:p>
    <w:p>
      <w:pPr>
        <w:ind w:firstLine="480"/>
        <w:jc w:val="left"/>
        <w:spacing w:line="360" w:lineRule="auto"/>
        <w:rPr>
          <w:rFonts w:ascii="宋体" w:hAnsi="宋体" w:cs="Times New Roman"/>
          <w:color w:val="000000"/>
          <w:sz w:val="24"/>
          <w:szCs w:val="24"/>
        </w:rPr>
      </w:pPr>
      <w:r>
        <w:rPr>
          <w:rFonts w:ascii="宋体" w:hAnsi="宋体" w:cs="Times New Roman"/>
          <w:color w:val="000000"/>
          <w:sz w:val="24"/>
          <w:szCs w:val="24"/>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rFonts w:ascii="Arial" w:hAnsi="Arial"/>
          <w:b/>
          <w:color w:val="000000"/>
          <w:sz w:val="36"/>
        </w:rPr>
      </w:pPr>
      <w:r>
        <w:rPr>
          <w:rFonts w:hint="eastAsia" w:ascii="Arial" w:hAnsi="Arial"/>
          <w:b/>
          <w:color w:val="000000"/>
          <w:sz w:val="36"/>
        </w:rPr>
        <w:br w:type="page" w:clear="all"/>
      </w:r>
      <w:r/>
    </w:p>
    <w:p>
      <w:pPr>
        <w:jc w:val="left"/>
        <w:keepLines/>
        <w:keepNext/>
        <w:spacing w:before="360" w:after="200" w:line="360" w:lineRule="auto"/>
        <w:rPr>
          <w:rFonts w:ascii="Arial" w:hAnsi="Arial"/>
          <w:b/>
          <w:color w:val="000000"/>
          <w:sz w:val="36"/>
        </w:rPr>
        <w:outlineLvl w:val="1"/>
      </w:pPr>
      <w:r>
        <w:rPr>
          <w:rFonts w:hint="eastAsia" w:ascii="Arial" w:hAnsi="Arial"/>
          <w:b/>
          <w:color w:val="000000"/>
          <w:sz w:val="36"/>
        </w:rPr>
        <w:t xml:space="preserve">十二、残疾人福利性单位声明函</w:t>
      </w:r>
      <w:r/>
    </w:p>
    <w:p>
      <w:pPr>
        <w:jc w:val="center"/>
        <w:spacing w:line="360" w:lineRule="auto"/>
        <w:tabs>
          <w:tab w:val="left" w:pos="360" w:leader="none"/>
        </w:tabs>
        <w:rPr>
          <w:rFonts w:ascii="宋体" w:hAnsi="宋体" w:cs="Times New Roman"/>
          <w:color w:val="000000"/>
          <w:sz w:val="24"/>
          <w:szCs w:val="21"/>
        </w:rPr>
      </w:pPr>
      <w:r>
        <w:rPr>
          <w:rFonts w:hint="eastAsia" w:ascii="黑体" w:hAnsi="黑体" w:eastAsia="黑体" w:cs="宋体"/>
          <w:bCs/>
          <w:color w:val="000000"/>
          <w:sz w:val="36"/>
          <w:szCs w:val="28"/>
        </w:rPr>
        <w:t xml:space="preserve">残疾人福利性单位声明函</w:t>
      </w:r>
      <w:r/>
    </w:p>
    <w:p>
      <w:pPr>
        <w:ind w:firstLine="480"/>
        <w:jc w:val="left"/>
        <w:spacing w:line="500" w:lineRule="exact"/>
        <w:rPr>
          <w:rFonts w:ascii="宋体" w:hAnsi="宋体" w:cs="Times New Roman"/>
          <w:color w:val="000000"/>
          <w:sz w:val="24"/>
          <w:szCs w:val="21"/>
        </w:rPr>
      </w:pPr>
      <w:r>
        <w:rPr>
          <w:rFonts w:hint="eastAsia" w:ascii="宋体" w:hAnsi="宋体" w:cs="Times New Roman"/>
          <w:color w:val="000000"/>
          <w:sz w:val="24"/>
          <w:szCs w:val="21"/>
        </w:rPr>
        <w:t xml:space="preserve">本单位郑重声明，根据《财政部 民政部 中国残疾人联合会关于促进残疾人就业政府采购政策的通知》（财库</w:t>
      </w:r>
      <w:r>
        <w:rPr>
          <w:rFonts w:hint="eastAsia" w:ascii="宋体" w:hAnsi="宋体" w:cs="Times New Roman"/>
          <w:color w:val="000000"/>
          <w:sz w:val="24"/>
          <w:szCs w:val="24"/>
        </w:rPr>
        <w:t xml:space="preserve">〔2017〕</w:t>
      </w:r>
      <w:r>
        <w:rPr>
          <w:rFonts w:hint="eastAsia" w:ascii="宋体" w:hAnsi="宋体" w:cs="Times New Roman"/>
          <w:color w:val="000000"/>
          <w:sz w:val="24"/>
          <w:szCs w:val="21"/>
        </w:rPr>
        <w:t xml:space="preserve">141号）的规定，本单位为符合条件的残疾人福利性单位，且本单位参加单位的项目（</w:t>
      </w:r>
      <w:r>
        <w:rPr>
          <w:rFonts w:hint="eastAsia" w:ascii="宋体" w:hAnsi="宋体" w:cs="Times New Roman"/>
          <w:color w:val="000000"/>
          <w:sz w:val="24"/>
          <w:szCs w:val="24"/>
        </w:rPr>
        <w:t xml:space="preserve">项目编号：，分包号：</w:t>
      </w:r>
      <w:r>
        <w:rPr>
          <w:rFonts w:hint="eastAsia" w:ascii="宋体" w:hAnsi="宋体" w:cs="Times New Roman"/>
          <w:color w:val="000000"/>
          <w:sz w:val="24"/>
          <w:szCs w:val="21"/>
        </w:rPr>
        <w:t xml:space="preserve">）采购活动由本单位提供全部服务。</w:t>
      </w:r>
      <w:r/>
    </w:p>
    <w:p>
      <w:pPr>
        <w:ind w:firstLine="480"/>
        <w:spacing w:line="500" w:lineRule="exact"/>
        <w:rPr>
          <w:rFonts w:ascii="宋体" w:hAnsi="宋体" w:cs="Times New Roman"/>
          <w:color w:val="000000"/>
          <w:sz w:val="24"/>
          <w:szCs w:val="21"/>
        </w:rPr>
      </w:pPr>
      <w:r>
        <w:rPr>
          <w:rFonts w:hint="eastAsia" w:ascii="宋体" w:hAnsi="宋体" w:cs="Times New Roman"/>
          <w:color w:val="000000"/>
          <w:sz w:val="24"/>
          <w:szCs w:val="21"/>
        </w:rPr>
        <w:t xml:space="preserve">本单位对上述声明的真实性负责。如有虚假，将依法承担相应责任。</w:t>
      </w:r>
      <w:r/>
    </w:p>
    <w:p>
      <w:pPr>
        <w:ind w:firstLine="480"/>
        <w:spacing w:line="500" w:lineRule="exact"/>
        <w:rPr>
          <w:rFonts w:ascii="宋体" w:hAnsi="宋体" w:cs="Times New Roman"/>
          <w:color w:val="000000"/>
          <w:sz w:val="24"/>
          <w:szCs w:val="21"/>
        </w:rPr>
      </w:pPr>
      <w:r>
        <w:rPr>
          <w:rFonts w:ascii="宋体" w:hAnsi="宋体" w:cs="Times New Roman"/>
          <w:color w:val="000000"/>
          <w:sz w:val="24"/>
          <w:szCs w:val="21"/>
        </w:rPr>
      </w:r>
      <w:r/>
    </w:p>
    <w:p>
      <w:pPr>
        <w:ind w:right="1620" w:firstLine="2880"/>
        <w:spacing w:line="560" w:lineRule="exact"/>
        <w:rPr>
          <w:rFonts w:ascii="宋体" w:hAnsi="宋体" w:cs="Times New Roman"/>
          <w:color w:val="000000"/>
          <w:sz w:val="24"/>
          <w:szCs w:val="24"/>
        </w:rPr>
      </w:pPr>
      <w:r>
        <w:rPr>
          <w:rFonts w:hint="eastAsia" w:ascii="宋体" w:hAnsi="宋体" w:cs="Times New Roman"/>
          <w:color w:val="000000"/>
          <w:sz w:val="24"/>
          <w:szCs w:val="24"/>
        </w:rPr>
        <w:t xml:space="preserve">单位名称（盖章）：</w:t>
      </w:r>
      <w:r/>
    </w:p>
    <w:p>
      <w:pPr>
        <w:ind w:right="1140" w:firstLine="2880"/>
        <w:spacing w:line="560" w:lineRule="exact"/>
        <w:rPr>
          <w:rFonts w:ascii="宋体" w:hAnsi="宋体" w:cs="Times New Roman"/>
          <w:color w:val="000000"/>
          <w:sz w:val="24"/>
          <w:szCs w:val="24"/>
        </w:rPr>
      </w:pPr>
      <w:r>
        <w:rPr>
          <w:rFonts w:hint="eastAsia" w:ascii="宋体" w:hAnsi="宋体" w:cs="Times New Roman"/>
          <w:color w:val="000000"/>
          <w:sz w:val="24"/>
          <w:szCs w:val="24"/>
        </w:rPr>
        <w:t xml:space="preserve">日  期：</w:t>
      </w:r>
      <w:r/>
    </w:p>
    <w:p>
      <w:pPr>
        <w:rPr>
          <w:color w:val="000000"/>
        </w:rPr>
      </w:pPr>
      <w:r>
        <w:rPr>
          <w:color w:val="000000"/>
        </w:rPr>
      </w:r>
      <w:r/>
    </w:p>
    <w:p>
      <w:pPr>
        <w:rPr>
          <w:color w:val="000000"/>
        </w:rPr>
      </w:pPr>
      <w:r>
        <w:rPr>
          <w:color w:val="000000"/>
        </w:rPr>
      </w:r>
      <w:r/>
    </w:p>
    <w:p>
      <w:pPr>
        <w:spacing w:line="360" w:lineRule="auto"/>
        <w:rPr>
          <w:rFonts w:ascii="宋体" w:hAnsi="宋体" w:cs="Times New Roman"/>
          <w:bCs/>
          <w:color w:val="000000"/>
          <w:sz w:val="24"/>
          <w:szCs w:val="24"/>
        </w:rPr>
      </w:pPr>
      <w:r>
        <w:rPr>
          <w:rFonts w:hint="eastAsia" w:ascii="宋体" w:hAnsi="宋体" w:cs="Times New Roman"/>
          <w:bCs/>
          <w:color w:val="000000"/>
          <w:sz w:val="24"/>
          <w:szCs w:val="24"/>
        </w:rPr>
        <w:t xml:space="preserve">填报说明：</w:t>
      </w:r>
      <w:r/>
    </w:p>
    <w:p>
      <w:pPr>
        <w:ind w:firstLine="480"/>
        <w:jc w:val="left"/>
        <w:spacing w:line="360" w:lineRule="auto"/>
        <w:rPr>
          <w:rFonts w:ascii="宋体" w:hAnsi="宋体" w:cs="Times New Roman"/>
          <w:bCs/>
          <w:color w:val="000000"/>
          <w:sz w:val="24"/>
          <w:szCs w:val="24"/>
        </w:rPr>
      </w:pPr>
      <w:r>
        <w:rPr>
          <w:rFonts w:hint="eastAsia" w:ascii="宋体" w:hAnsi="宋体" w:cs="Times New Roman"/>
          <w:bCs/>
          <w:color w:val="000000"/>
          <w:sz w:val="24"/>
          <w:szCs w:val="24"/>
        </w:rPr>
        <w:t xml:space="preserve">1、</w:t>
      </w:r>
      <w:r>
        <w:rPr>
          <w:rFonts w:hint="eastAsia" w:ascii="宋体" w:hAnsi="宋体" w:cs="Times New Roman"/>
          <w:color w:val="000000"/>
          <w:sz w:val="24"/>
          <w:szCs w:val="24"/>
        </w:rPr>
        <w:t xml:space="preserve">请供应商如实填写，</w:t>
      </w:r>
      <w:r>
        <w:rPr>
          <w:rFonts w:hint="eastAsia" w:ascii="宋体" w:hAnsi="宋体"/>
          <w:bCs/>
          <w:color w:val="000000"/>
          <w:sz w:val="24"/>
        </w:rPr>
        <w:t xml:space="preserve">所填内容将作为评审的依据</w:t>
      </w:r>
      <w:r>
        <w:rPr>
          <w:rFonts w:hint="eastAsia" w:ascii="宋体" w:hAnsi="宋体" w:cs="Times New Roman"/>
          <w:color w:val="000000"/>
          <w:sz w:val="24"/>
          <w:szCs w:val="24"/>
        </w:rPr>
        <w:t xml:space="preserve">，如填写不完整或不一致或填写有误，将承担一切不利后果。</w:t>
      </w:r>
      <w:r/>
    </w:p>
    <w:p>
      <w:pPr>
        <w:ind w:firstLine="480"/>
        <w:jc w:val="left"/>
        <w:spacing w:line="360" w:lineRule="auto"/>
        <w:rPr>
          <w:rFonts w:ascii="Times New Roman" w:hAnsi="Times New Roman" w:cs="Times New Roman"/>
          <w:color w:val="000000"/>
          <w:sz w:val="24"/>
          <w:szCs w:val="24"/>
        </w:rPr>
      </w:pPr>
      <w:r>
        <w:rPr>
          <w:rFonts w:hint="eastAsia" w:ascii="宋体" w:hAnsi="宋体" w:cs="Times New Roman"/>
          <w:bCs/>
          <w:color w:val="000000"/>
          <w:sz w:val="24"/>
          <w:szCs w:val="24"/>
        </w:rPr>
        <w:t xml:space="preserve">2、中标人的《残疾人福利性单位声明函》随中标结果公开。</w:t>
      </w:r>
      <w:r/>
    </w:p>
    <w:p>
      <w:pPr>
        <w:rPr>
          <w:color w:val="000000"/>
        </w:rPr>
      </w:pPr>
      <w:r>
        <w:rPr>
          <w:color w:val="000000"/>
        </w:rPr>
        <w:br w:type="page" w:clear="all"/>
      </w:r>
      <w:r/>
    </w:p>
    <w:p>
      <w:pPr>
        <w:jc w:val="left"/>
        <w:keepLines/>
        <w:keepNext/>
        <w:spacing w:before="360" w:after="200" w:line="360" w:lineRule="auto"/>
        <w:rPr>
          <w:rFonts w:ascii="Arial" w:hAnsi="Arial"/>
          <w:b/>
          <w:iCs/>
          <w:color w:val="000000"/>
          <w:sz w:val="36"/>
        </w:rPr>
        <w:outlineLvl w:val="1"/>
      </w:pPr>
      <w:r>
        <w:rPr>
          <w:rFonts w:hint="eastAsia" w:ascii="Arial" w:hAnsi="Arial"/>
          <w:b/>
          <w:iCs/>
          <w:color w:val="000000"/>
          <w:sz w:val="36"/>
        </w:rPr>
        <w:t xml:space="preserve">十三、投标分项报价表</w:t>
      </w:r>
      <w:r/>
    </w:p>
    <w:p>
      <w:pPr>
        <w:jc w:val="center"/>
        <w:spacing w:line="360" w:lineRule="auto"/>
        <w:tabs>
          <w:tab w:val="left" w:pos="360" w:leader="none"/>
        </w:tabs>
        <w:rPr>
          <w:rFonts w:ascii="黑体" w:hAnsi="黑体" w:eastAsia="黑体" w:cs="宋体"/>
          <w:bCs/>
          <w:color w:val="000000"/>
          <w:sz w:val="36"/>
          <w:szCs w:val="28"/>
        </w:rPr>
      </w:pPr>
      <w:r>
        <w:rPr>
          <w:rFonts w:hint="eastAsia" w:ascii="黑体" w:hAnsi="黑体" w:eastAsia="黑体" w:cs="宋体"/>
          <w:bCs/>
          <w:color w:val="000000"/>
          <w:sz w:val="36"/>
          <w:szCs w:val="28"/>
        </w:rPr>
        <w:t xml:space="preserve">投标分项报价表</w:t>
      </w:r>
      <w:r/>
    </w:p>
    <w:p>
      <w:pPr>
        <w:jc w:val="left"/>
        <w:spacing w:line="360" w:lineRule="auto"/>
        <w:rPr>
          <w:rFonts w:ascii="宋体" w:hAnsi="宋体" w:cs="Times New Roman"/>
          <w:bCs/>
          <w:color w:val="000000"/>
          <w:sz w:val="24"/>
          <w:szCs w:val="24"/>
        </w:rPr>
      </w:pPr>
      <w:r>
        <w:rPr>
          <w:rFonts w:hint="eastAsia" w:ascii="宋体" w:hAnsi="宋体" w:cs="方正仿宋_GBK"/>
          <w:color w:val="000000"/>
          <w:sz w:val="24"/>
          <w:szCs w:val="24"/>
        </w:rPr>
        <w:t xml:space="preserve">项目名称：     项目编号：      分包号：</w:t>
      </w:r>
      <w:r/>
    </w:p>
    <w:p>
      <w:pPr>
        <w:jc w:val="right"/>
        <w:spacing w:line="360" w:lineRule="auto"/>
        <w:rPr>
          <w:rFonts w:ascii="宋体" w:hAnsi="宋体" w:cs="Times New Roman"/>
          <w:color w:val="000000"/>
          <w:sz w:val="24"/>
          <w:szCs w:val="24"/>
        </w:rPr>
      </w:pPr>
      <w:r>
        <w:rPr>
          <w:rFonts w:hint="eastAsia" w:ascii="宋体" w:hAnsi="宋体" w:cs="Times New Roman"/>
          <w:color w:val="000000"/>
          <w:sz w:val="24"/>
          <w:szCs w:val="24"/>
        </w:rPr>
        <w:t xml:space="preserve">单位：元</w:t>
      </w:r>
      <w:r/>
    </w:p>
    <w:tbl>
      <w:tblPr>
        <w:tblStyle w:val="70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417"/>
        <w:gridCol w:w="1560"/>
        <w:gridCol w:w="1275"/>
        <w:gridCol w:w="1418"/>
        <w:gridCol w:w="2551"/>
      </w:tblGrid>
      <w:tr>
        <w:trPr>
          <w:cantSplit/>
          <w:jc w:val="center"/>
          <w:trHeight w:val="501"/>
        </w:trPr>
        <w:tc>
          <w:tcPr>
            <w:tcW w:w="959"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序号</w:t>
            </w:r>
            <w:r/>
          </w:p>
        </w:tc>
        <w:tc>
          <w:tcPr>
            <w:tcW w:w="1417"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产品、服务名称</w:t>
            </w:r>
            <w:r/>
          </w:p>
        </w:tc>
        <w:tc>
          <w:tcPr>
            <w:tcW w:w="1560"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分项单位</w:t>
            </w:r>
            <w:r/>
          </w:p>
        </w:tc>
        <w:tc>
          <w:tcPr>
            <w:tcW w:w="127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数量</w:t>
            </w:r>
            <w:r/>
          </w:p>
        </w:tc>
        <w:tc>
          <w:tcPr>
            <w:tcW w:w="1418"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单价</w:t>
            </w:r>
            <w:r/>
          </w:p>
        </w:tc>
        <w:tc>
          <w:tcPr>
            <w:tcW w:w="2551"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单项</w:t>
            </w:r>
            <w:r/>
          </w:p>
          <w:p>
            <w:pPr>
              <w:jc w:val="center"/>
              <w:rPr>
                <w:rFonts w:ascii="宋体" w:hAnsi="宋体" w:cs="宋体"/>
                <w:color w:val="000000"/>
                <w:sz w:val="24"/>
                <w:szCs w:val="24"/>
              </w:rPr>
            </w:pPr>
            <w:r>
              <w:rPr>
                <w:rFonts w:hint="eastAsia" w:ascii="宋体" w:hAnsi="宋体" w:cs="宋体"/>
                <w:color w:val="000000"/>
                <w:sz w:val="24"/>
                <w:szCs w:val="24"/>
              </w:rPr>
              <w:t xml:space="preserve">合计价</w:t>
            </w:r>
            <w:r/>
          </w:p>
        </w:tc>
      </w:tr>
      <w:tr>
        <w:trPr>
          <w:cantSplit/>
          <w:jc w:val="center"/>
          <w:trHeight w:val="501"/>
        </w:trPr>
        <w:tc>
          <w:tcPr>
            <w:tcW w:w="959"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417"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560"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275"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418"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2551"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cantSplit/>
          <w:jc w:val="center"/>
          <w:trHeight w:val="501"/>
        </w:trPr>
        <w:tc>
          <w:tcPr>
            <w:tcW w:w="959"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417"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560"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275"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418"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2551"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cantSplit/>
          <w:jc w:val="center"/>
          <w:trHeight w:val="501"/>
        </w:trPr>
        <w:tc>
          <w:tcPr>
            <w:tcW w:w="959"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417"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560"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275"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418"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2551"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cantSplit/>
          <w:jc w:val="center"/>
          <w:trHeight w:val="501"/>
        </w:trPr>
        <w:tc>
          <w:tcPr>
            <w:tcW w:w="959"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417"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560"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275"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418"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2551"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cantSplit/>
          <w:jc w:val="center"/>
          <w:trHeight w:val="501"/>
        </w:trPr>
        <w:tc>
          <w:tcPr>
            <w:tcW w:w="959"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417"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560"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275"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418"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2551"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cantSplit/>
          <w:jc w:val="center"/>
          <w:trHeight w:val="501"/>
        </w:trPr>
        <w:tc>
          <w:tcPr>
            <w:gridSpan w:val="5"/>
            <w:tcW w:w="6629"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总计（元）</w:t>
            </w:r>
            <w:r/>
          </w:p>
        </w:tc>
        <w:tc>
          <w:tcPr>
            <w:tcW w:w="2551"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bl>
    <w:p>
      <w:pPr>
        <w:jc w:val="left"/>
        <w:rPr>
          <w:rFonts w:ascii="宋体" w:hAnsi="宋体" w:cs="宋体"/>
          <w:bCs/>
          <w:color w:val="000000"/>
          <w:sz w:val="24"/>
          <w:szCs w:val="24"/>
        </w:rPr>
      </w:pPr>
      <w:r>
        <w:rPr>
          <w:rFonts w:ascii="宋体" w:hAnsi="宋体" w:cs="宋体"/>
          <w:bCs/>
          <w:color w:val="000000"/>
          <w:sz w:val="24"/>
          <w:szCs w:val="24"/>
        </w:rPr>
      </w:r>
      <w:r/>
    </w:p>
    <w:p>
      <w:pPr>
        <w:jc w:val="right"/>
        <w:rPr>
          <w:rFonts w:ascii="宋体" w:hAnsi="宋体" w:cs="宋体"/>
          <w:bCs/>
          <w:color w:val="000000"/>
          <w:sz w:val="24"/>
          <w:szCs w:val="24"/>
        </w:rPr>
      </w:pPr>
      <w:r>
        <w:rPr>
          <w:rFonts w:ascii="宋体" w:hAnsi="宋体" w:cs="宋体"/>
          <w:bCs/>
          <w:color w:val="000000"/>
          <w:sz w:val="24"/>
          <w:szCs w:val="24"/>
        </w:rPr>
      </w:r>
      <w:r/>
    </w:p>
    <w:p>
      <w:pPr>
        <w:jc w:val="right"/>
        <w:spacing w:line="360" w:lineRule="auto"/>
        <w:rPr>
          <w:rFonts w:ascii="宋体" w:hAnsi="宋体" w:cs="方正仿宋_GBK"/>
          <w:color w:val="000000"/>
          <w:sz w:val="24"/>
          <w:szCs w:val="24"/>
        </w:rPr>
      </w:pPr>
      <w:r>
        <w:rPr>
          <w:rFonts w:hint="eastAsia" w:ascii="宋体" w:hAnsi="宋体" w:cs="方正仿宋_GBK"/>
          <w:color w:val="000000"/>
          <w:sz w:val="24"/>
          <w:szCs w:val="24"/>
        </w:rPr>
        <w:t xml:space="preserve">投标人（盖章）：</w:t>
      </w:r>
      <w:r/>
    </w:p>
    <w:p>
      <w:pPr>
        <w:jc w:val="right"/>
        <w:spacing w:line="360" w:lineRule="auto"/>
        <w:rPr>
          <w:rFonts w:ascii="宋体" w:hAnsi="宋体" w:cs="方正仿宋_GBK"/>
          <w:color w:val="000000"/>
          <w:sz w:val="24"/>
          <w:szCs w:val="24"/>
        </w:rPr>
      </w:pPr>
      <w:r>
        <w:rPr>
          <w:rFonts w:hint="eastAsia" w:ascii="宋体" w:hAnsi="宋体" w:cs="方正仿宋_GBK"/>
          <w:color w:val="000000"/>
          <w:sz w:val="24"/>
          <w:szCs w:val="24"/>
        </w:rPr>
        <w:t xml:space="preserve">法定代表人或委托代理人（签字或盖章）：</w:t>
      </w:r>
      <w:r/>
    </w:p>
    <w:p>
      <w:pPr>
        <w:jc w:val="right"/>
        <w:spacing w:line="360" w:lineRule="auto"/>
        <w:rPr>
          <w:rFonts w:ascii="宋体" w:hAnsi="宋体" w:cs="方正仿宋_GBK"/>
          <w:color w:val="000000"/>
          <w:sz w:val="24"/>
          <w:szCs w:val="24"/>
        </w:rPr>
      </w:pPr>
      <w:r>
        <w:rPr>
          <w:rFonts w:hint="eastAsia" w:ascii="宋体" w:hAnsi="宋体" w:cs="方正仿宋_GBK"/>
          <w:color w:val="000000"/>
          <w:sz w:val="24"/>
          <w:szCs w:val="24"/>
        </w:rPr>
        <w:t xml:space="preserve">年     月     日</w:t>
      </w:r>
      <w:r/>
    </w:p>
    <w:p>
      <w:pPr>
        <w:jc w:val="left"/>
        <w:spacing w:line="360" w:lineRule="auto"/>
        <w:rPr>
          <w:rFonts w:ascii="宋体" w:hAnsi="宋体" w:cs="方正仿宋_GBK"/>
          <w:color w:val="000000"/>
          <w:sz w:val="24"/>
          <w:szCs w:val="24"/>
        </w:rPr>
      </w:pPr>
      <w:r>
        <w:rPr>
          <w:rFonts w:ascii="宋体" w:hAnsi="宋体" w:cs="方正仿宋_GBK"/>
          <w:color w:val="000000"/>
          <w:sz w:val="24"/>
          <w:szCs w:val="24"/>
        </w:rPr>
      </w:r>
      <w:r/>
    </w:p>
    <w:p>
      <w:pPr>
        <w:jc w:val="left"/>
        <w:spacing w:line="360" w:lineRule="auto"/>
        <w:rPr>
          <w:rFonts w:ascii="宋体" w:hAnsi="宋体" w:cs="方正仿宋_GBK"/>
          <w:color w:val="000000"/>
          <w:sz w:val="24"/>
          <w:szCs w:val="24"/>
        </w:rPr>
      </w:pPr>
      <w:r>
        <w:rPr>
          <w:rFonts w:hint="eastAsia" w:ascii="宋体" w:hAnsi="宋体" w:cs="方正仿宋_GBK"/>
          <w:color w:val="000000"/>
          <w:sz w:val="24"/>
          <w:szCs w:val="24"/>
        </w:rPr>
        <w:t xml:space="preserve">填报说明：</w:t>
      </w:r>
      <w:r/>
    </w:p>
    <w:p>
      <w:pPr>
        <w:jc w:val="left"/>
        <w:spacing w:line="360" w:lineRule="auto"/>
        <w:rPr>
          <w:rFonts w:ascii="宋体" w:hAnsi="宋体" w:cs="方正仿宋_GBK"/>
          <w:color w:val="000000"/>
          <w:sz w:val="24"/>
          <w:szCs w:val="24"/>
        </w:rPr>
      </w:pPr>
      <w:r>
        <w:rPr>
          <w:rFonts w:hint="eastAsia" w:ascii="宋体" w:hAnsi="宋体" w:cs="方正仿宋_GBK"/>
          <w:color w:val="000000"/>
          <w:sz w:val="24"/>
          <w:szCs w:val="24"/>
        </w:rPr>
        <w:t xml:space="preserve">1.项目如有分包，请各投标人按相应的分包分别列表。</w:t>
      </w:r>
      <w:r/>
    </w:p>
    <w:p>
      <w:pPr>
        <w:jc w:val="left"/>
        <w:spacing w:line="360" w:lineRule="auto"/>
        <w:rPr>
          <w:rFonts w:ascii="宋体" w:hAnsi="宋体" w:cs="方正仿宋_GBK"/>
          <w:color w:val="000000"/>
          <w:sz w:val="24"/>
          <w:szCs w:val="24"/>
        </w:rPr>
      </w:pPr>
      <w:r>
        <w:rPr>
          <w:rFonts w:hint="eastAsia" w:ascii="宋体" w:hAnsi="宋体" w:cs="方正仿宋_GBK"/>
          <w:color w:val="000000"/>
          <w:sz w:val="24"/>
          <w:szCs w:val="24"/>
        </w:rPr>
        <w:t xml:space="preserve">2.行数或事项不够，可自行增加</w:t>
      </w:r>
      <w:r/>
    </w:p>
    <w:p>
      <w:pPr>
        <w:jc w:val="left"/>
        <w:spacing w:line="360" w:lineRule="auto"/>
        <w:rPr>
          <w:rFonts w:ascii="宋体" w:hAnsi="宋体" w:cs="方正仿宋_GBK"/>
          <w:color w:val="000000"/>
          <w:sz w:val="24"/>
          <w:szCs w:val="24"/>
        </w:rPr>
      </w:pPr>
      <w:r>
        <w:rPr>
          <w:rFonts w:hint="eastAsia" w:ascii="宋体" w:hAnsi="宋体" w:cs="方正仿宋_GBK"/>
          <w:color w:val="000000"/>
          <w:sz w:val="24"/>
          <w:szCs w:val="24"/>
        </w:rPr>
        <w:br w:type="page" w:clear="all"/>
      </w:r>
      <w:r/>
    </w:p>
    <w:p>
      <w:pPr>
        <w:jc w:val="left"/>
        <w:keepLines/>
        <w:keepNext/>
        <w:spacing w:before="360" w:after="200" w:line="360" w:lineRule="auto"/>
        <w:rPr>
          <w:rFonts w:ascii="Arial" w:hAnsi="Arial"/>
          <w:b/>
          <w:iCs/>
          <w:color w:val="000000"/>
          <w:sz w:val="36"/>
        </w:rPr>
        <w:outlineLvl w:val="1"/>
      </w:pPr>
      <w:r>
        <w:rPr>
          <w:rFonts w:hint="eastAsia" w:ascii="Arial" w:hAnsi="Arial"/>
          <w:b/>
          <w:iCs/>
          <w:color w:val="000000"/>
          <w:sz w:val="36"/>
        </w:rPr>
        <w:t xml:space="preserve">十四、技术要求响应及偏离表（如有请提供）</w:t>
      </w:r>
      <w:r/>
    </w:p>
    <w:p>
      <w:pPr>
        <w:jc w:val="center"/>
        <w:spacing w:line="360" w:lineRule="auto"/>
        <w:tabs>
          <w:tab w:val="left" w:pos="360" w:leader="none"/>
        </w:tabs>
        <w:rPr>
          <w:rFonts w:ascii="黑体" w:hAnsi="黑体" w:eastAsia="黑体" w:cs="宋体"/>
          <w:bCs/>
          <w:color w:val="000000"/>
          <w:sz w:val="36"/>
          <w:szCs w:val="28"/>
        </w:rPr>
      </w:pPr>
      <w:r>
        <w:rPr>
          <w:rFonts w:hint="eastAsia" w:ascii="黑体" w:hAnsi="黑体" w:eastAsia="黑体" w:cs="宋体"/>
          <w:bCs/>
          <w:color w:val="000000"/>
          <w:sz w:val="36"/>
          <w:szCs w:val="28"/>
        </w:rPr>
        <w:t xml:space="preserve">技术要求响应及偏离表</w:t>
      </w:r>
      <w:r/>
    </w:p>
    <w:p>
      <w:pPr>
        <w:jc w:val="left"/>
        <w:spacing w:line="360" w:lineRule="auto"/>
        <w:rPr>
          <w:rFonts w:ascii="Arial" w:hAnsi="Arial"/>
          <w:color w:val="000000"/>
          <w:sz w:val="36"/>
        </w:rPr>
      </w:pPr>
      <w:r>
        <w:rPr>
          <w:rFonts w:hint="eastAsia" w:ascii="宋体" w:hAnsi="宋体" w:cs="方正仿宋_GBK"/>
          <w:color w:val="000000"/>
          <w:sz w:val="24"/>
          <w:szCs w:val="24"/>
        </w:rPr>
        <w:t xml:space="preserve">项目名称：      项目编号：      分包号：</w:t>
      </w:r>
      <w:r/>
    </w:p>
    <w:tbl>
      <w:tblPr>
        <w:tblStyle w:val="700"/>
        <w:tblW w:w="95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9"/>
        <w:gridCol w:w="3402"/>
        <w:gridCol w:w="3261"/>
        <w:gridCol w:w="1805"/>
      </w:tblGrid>
      <w:tr>
        <w:trPr>
          <w:cantSplit/>
          <w:jc w:val="center"/>
        </w:trPr>
        <w:tc>
          <w:tcPr>
            <w:tcW w:w="1099" w:type="dxa"/>
            <w:vAlign w:val="center"/>
            <w:textDirection w:val="lrTb"/>
            <w:noWrap w:val="false"/>
          </w:tcPr>
          <w:p>
            <w:pPr>
              <w:jc w:val="center"/>
              <w:spacing w:line="360" w:lineRule="auto"/>
              <w:rPr>
                <w:rFonts w:ascii="宋体" w:hAnsi="宋体" w:cs="Times New Roman"/>
                <w:color w:val="000000"/>
                <w:sz w:val="24"/>
                <w:szCs w:val="24"/>
              </w:rPr>
            </w:pPr>
            <w:r>
              <w:rPr>
                <w:rFonts w:hint="eastAsia" w:ascii="宋体" w:hAnsi="宋体" w:cs="Times New Roman"/>
                <w:color w:val="000000"/>
                <w:sz w:val="24"/>
                <w:szCs w:val="24"/>
              </w:rPr>
              <w:t xml:space="preserve">序号</w:t>
            </w:r>
            <w:r/>
          </w:p>
        </w:tc>
        <w:tc>
          <w:tcPr>
            <w:tcW w:w="3402" w:type="dxa"/>
            <w:vAlign w:val="center"/>
            <w:textDirection w:val="lrTb"/>
            <w:noWrap w:val="false"/>
          </w:tcPr>
          <w:p>
            <w:pPr>
              <w:jc w:val="center"/>
              <w:spacing w:line="360" w:lineRule="auto"/>
              <w:rPr>
                <w:rFonts w:ascii="宋体" w:hAnsi="宋体" w:cs="Times New Roman"/>
                <w:color w:val="000000"/>
                <w:sz w:val="24"/>
                <w:szCs w:val="24"/>
              </w:rPr>
            </w:pPr>
            <w:r>
              <w:rPr>
                <w:rFonts w:hint="eastAsia" w:ascii="宋体" w:hAnsi="宋体" w:cs="Times New Roman"/>
                <w:color w:val="000000"/>
                <w:sz w:val="24"/>
                <w:szCs w:val="24"/>
              </w:rPr>
              <w:t xml:space="preserve">招标文件要求</w:t>
            </w:r>
            <w:r/>
          </w:p>
        </w:tc>
        <w:tc>
          <w:tcPr>
            <w:tcW w:w="3261" w:type="dxa"/>
            <w:vAlign w:val="center"/>
            <w:textDirection w:val="lrTb"/>
            <w:noWrap w:val="false"/>
          </w:tcPr>
          <w:p>
            <w:pPr>
              <w:jc w:val="center"/>
              <w:spacing w:line="360" w:lineRule="auto"/>
              <w:rPr>
                <w:rFonts w:ascii="宋体" w:hAnsi="宋体" w:cs="Times New Roman"/>
                <w:color w:val="000000"/>
                <w:sz w:val="24"/>
                <w:szCs w:val="24"/>
              </w:rPr>
            </w:pPr>
            <w:r>
              <w:rPr>
                <w:rFonts w:hint="eastAsia" w:ascii="宋体" w:hAnsi="宋体" w:cs="Times New Roman"/>
                <w:color w:val="000000"/>
                <w:sz w:val="24"/>
                <w:szCs w:val="24"/>
              </w:rPr>
              <w:t xml:space="preserve">投标响应情况</w:t>
            </w:r>
            <w:r/>
          </w:p>
        </w:tc>
        <w:tc>
          <w:tcPr>
            <w:tcW w:w="1805" w:type="dxa"/>
            <w:vAlign w:val="center"/>
            <w:textDirection w:val="lrTb"/>
            <w:noWrap w:val="false"/>
          </w:tcPr>
          <w:p>
            <w:pPr>
              <w:jc w:val="center"/>
              <w:spacing w:line="360" w:lineRule="auto"/>
              <w:rPr>
                <w:rFonts w:ascii="宋体" w:hAnsi="宋体" w:cs="Times New Roman"/>
                <w:color w:val="000000"/>
                <w:sz w:val="24"/>
                <w:szCs w:val="24"/>
              </w:rPr>
            </w:pPr>
            <w:r>
              <w:rPr>
                <w:rFonts w:hint="eastAsia" w:ascii="宋体" w:hAnsi="宋体" w:cs="Times New Roman"/>
                <w:color w:val="000000"/>
                <w:sz w:val="24"/>
                <w:szCs w:val="24"/>
              </w:rPr>
              <w:t xml:space="preserve">超出、符合或偏离</w:t>
            </w:r>
            <w:r/>
          </w:p>
        </w:tc>
      </w:tr>
      <w:tr>
        <w:trPr>
          <w:cantSplit/>
          <w:jc w:val="center"/>
          <w:trHeight w:val="640"/>
        </w:trPr>
        <w:tc>
          <w:tcPr>
            <w:tcW w:w="1099" w:type="dxa"/>
            <w:vAlign w:val="center"/>
            <w:textDirection w:val="lrTb"/>
            <w:noWrap w:val="false"/>
          </w:tcPr>
          <w:p>
            <w:pPr>
              <w:jc w:val="center"/>
              <w:rPr>
                <w:rFonts w:ascii="宋体" w:hAnsi="宋体" w:cs="Times New Roman"/>
                <w:color w:val="000000"/>
                <w:sz w:val="24"/>
                <w:szCs w:val="24"/>
              </w:rPr>
            </w:pPr>
            <w:r>
              <w:rPr>
                <w:rFonts w:hint="eastAsia" w:ascii="宋体" w:hAnsi="宋体" w:cs="Times New Roman"/>
                <w:color w:val="000000"/>
                <w:sz w:val="24"/>
                <w:szCs w:val="24"/>
              </w:rPr>
              <w:t xml:space="preserve">1</w:t>
            </w:r>
            <w:r/>
          </w:p>
        </w:tc>
        <w:tc>
          <w:tcPr>
            <w:tcW w:w="3402"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c>
          <w:tcPr>
            <w:tcW w:w="3261"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c>
          <w:tcPr>
            <w:tcW w:w="1805"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r>
      <w:tr>
        <w:trPr>
          <w:cantSplit/>
          <w:jc w:val="center"/>
          <w:trHeight w:val="640"/>
        </w:trPr>
        <w:tc>
          <w:tcPr>
            <w:tcW w:w="1099" w:type="dxa"/>
            <w:vAlign w:val="center"/>
            <w:textDirection w:val="lrTb"/>
            <w:noWrap w:val="false"/>
          </w:tcPr>
          <w:p>
            <w:pPr>
              <w:jc w:val="center"/>
              <w:rPr>
                <w:rFonts w:ascii="宋体" w:hAnsi="宋体" w:cs="Times New Roman"/>
                <w:color w:val="000000"/>
                <w:sz w:val="24"/>
                <w:szCs w:val="24"/>
              </w:rPr>
            </w:pPr>
            <w:r>
              <w:rPr>
                <w:rFonts w:hint="eastAsia" w:ascii="宋体" w:hAnsi="宋体" w:cs="Times New Roman"/>
                <w:color w:val="000000"/>
                <w:sz w:val="24"/>
                <w:szCs w:val="24"/>
              </w:rPr>
              <w:t xml:space="preserve">2</w:t>
            </w:r>
            <w:r/>
          </w:p>
        </w:tc>
        <w:tc>
          <w:tcPr>
            <w:tcW w:w="3402"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c>
          <w:tcPr>
            <w:tcW w:w="3261"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c>
          <w:tcPr>
            <w:tcW w:w="1805"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r>
      <w:tr>
        <w:trPr>
          <w:cantSplit/>
          <w:jc w:val="center"/>
          <w:trHeight w:val="640"/>
        </w:trPr>
        <w:tc>
          <w:tcPr>
            <w:tcW w:w="1099" w:type="dxa"/>
            <w:vAlign w:val="center"/>
            <w:textDirection w:val="lrTb"/>
            <w:noWrap w:val="false"/>
          </w:tcPr>
          <w:p>
            <w:pPr>
              <w:jc w:val="center"/>
              <w:rPr>
                <w:rFonts w:ascii="宋体" w:hAnsi="宋体" w:cs="Times New Roman"/>
                <w:color w:val="000000"/>
                <w:sz w:val="24"/>
                <w:szCs w:val="24"/>
              </w:rPr>
            </w:pPr>
            <w:r>
              <w:rPr>
                <w:rFonts w:hint="eastAsia" w:ascii="宋体" w:hAnsi="宋体" w:cs="Times New Roman"/>
                <w:color w:val="000000"/>
                <w:sz w:val="24"/>
                <w:szCs w:val="24"/>
              </w:rPr>
              <w:t xml:space="preserve">3</w:t>
            </w:r>
            <w:r/>
          </w:p>
        </w:tc>
        <w:tc>
          <w:tcPr>
            <w:tcW w:w="3402"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c>
          <w:tcPr>
            <w:tcW w:w="3261"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c>
          <w:tcPr>
            <w:tcW w:w="1805"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r>
      <w:tr>
        <w:trPr>
          <w:cantSplit/>
          <w:jc w:val="center"/>
          <w:trHeight w:val="640"/>
        </w:trPr>
        <w:tc>
          <w:tcPr>
            <w:tcW w:w="1099"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t xml:space="preserve">…</w:t>
            </w:r>
            <w:r/>
          </w:p>
        </w:tc>
        <w:tc>
          <w:tcPr>
            <w:tcW w:w="3402"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c>
          <w:tcPr>
            <w:tcW w:w="3261"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c>
          <w:tcPr>
            <w:tcW w:w="1805"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r>
    </w:tbl>
    <w:p>
      <w:pPr>
        <w:ind w:firstLine="480"/>
        <w:spacing w:line="500" w:lineRule="exact"/>
        <w:rPr>
          <w:rFonts w:ascii="宋体" w:hAnsi="宋体" w:cs="Times New Roman"/>
          <w:color w:val="000000"/>
          <w:sz w:val="24"/>
          <w:szCs w:val="24"/>
        </w:rPr>
      </w:pPr>
      <w:r>
        <w:rPr>
          <w:rFonts w:ascii="宋体" w:hAnsi="宋体" w:cs="Times New Roman"/>
          <w:color w:val="000000"/>
          <w:sz w:val="24"/>
          <w:szCs w:val="24"/>
        </w:rPr>
      </w:r>
      <w:r/>
    </w:p>
    <w:p>
      <w:pPr>
        <w:ind w:firstLine="480"/>
        <w:spacing w:line="500" w:lineRule="exact"/>
        <w:rPr>
          <w:rFonts w:ascii="宋体" w:hAnsi="宋体" w:cs="Times New Roman"/>
          <w:color w:val="000000"/>
          <w:sz w:val="24"/>
          <w:szCs w:val="24"/>
        </w:rPr>
      </w:pPr>
      <w:r>
        <w:rPr>
          <w:rFonts w:ascii="宋体" w:hAnsi="宋体" w:cs="Times New Roman"/>
          <w:color w:val="000000"/>
          <w:sz w:val="24"/>
          <w:szCs w:val="24"/>
        </w:rPr>
      </w:r>
      <w:r/>
    </w:p>
    <w:p>
      <w:pPr>
        <w:ind w:firstLine="480"/>
        <w:spacing w:line="360" w:lineRule="auto"/>
        <w:rPr>
          <w:rFonts w:ascii="Times New Roman" w:hAnsi="Times New Roman" w:cs="Times New Roman"/>
          <w:color w:val="000000"/>
          <w:sz w:val="24"/>
          <w:szCs w:val="24"/>
        </w:rPr>
      </w:pPr>
      <w:r>
        <w:rPr>
          <w:rFonts w:hint="eastAsia" w:ascii="Times New Roman" w:hAnsi="Times New Roman" w:cs="Times New Roman"/>
          <w:color w:val="000000"/>
          <w:sz w:val="24"/>
          <w:szCs w:val="24"/>
        </w:rPr>
        <w:t xml:space="preserve">投标人（盖章）：</w:t>
      </w:r>
      <w:r/>
    </w:p>
    <w:p>
      <w:pPr>
        <w:ind w:firstLine="480"/>
        <w:spacing w:line="360" w:lineRule="auto"/>
        <w:rPr>
          <w:rFonts w:ascii="Times New Roman" w:hAnsi="Times New Roman" w:cs="Times New Roman"/>
          <w:color w:val="000000"/>
          <w:sz w:val="24"/>
          <w:szCs w:val="24"/>
        </w:rPr>
      </w:pPr>
      <w:r>
        <w:rPr>
          <w:rFonts w:hint="eastAsia" w:ascii="Times New Roman" w:hAnsi="Times New Roman" w:cs="Times New Roman"/>
          <w:color w:val="000000"/>
          <w:sz w:val="24"/>
          <w:szCs w:val="24"/>
        </w:rPr>
        <w:t xml:space="preserve">法定代表人</w:t>
      </w:r>
      <w:r>
        <w:rPr>
          <w:rFonts w:cs="Times New Roman"/>
          <w:color w:val="000000"/>
          <w:sz w:val="24"/>
          <w:szCs w:val="24"/>
        </w:rPr>
        <w:t xml:space="preserve">（单位负责人）</w:t>
      </w:r>
      <w:r>
        <w:rPr>
          <w:rFonts w:hint="eastAsia" w:ascii="Times New Roman" w:hAnsi="Times New Roman" w:cs="Times New Roman"/>
          <w:color w:val="000000"/>
          <w:sz w:val="24"/>
          <w:szCs w:val="24"/>
        </w:rPr>
        <w:t xml:space="preserve">或委托代理人（签字或盖章）：</w:t>
      </w:r>
      <w:r/>
    </w:p>
    <w:p>
      <w:pPr>
        <w:rPr>
          <w:color w:val="000000"/>
        </w:rPr>
      </w:pPr>
      <w:r>
        <w:rPr>
          <w:rFonts w:hint="eastAsia" w:ascii="Times New Roman" w:hAnsi="Times New Roman" w:cs="Times New Roman"/>
          <w:color w:val="000000"/>
          <w:sz w:val="24"/>
          <w:szCs w:val="24"/>
        </w:rPr>
        <w:t xml:space="preserve">日期：年月日</w:t>
      </w:r>
      <w:r/>
    </w:p>
    <w:p>
      <w:pPr>
        <w:rPr>
          <w:rFonts w:ascii="Arial" w:hAnsi="Arial"/>
          <w:b/>
          <w:iCs/>
          <w:color w:val="000000"/>
          <w:sz w:val="36"/>
        </w:rPr>
      </w:pPr>
      <w:r>
        <w:rPr>
          <w:rFonts w:hint="eastAsia" w:ascii="Arial" w:hAnsi="Arial"/>
          <w:b/>
          <w:iCs/>
          <w:color w:val="000000"/>
          <w:sz w:val="36"/>
        </w:rPr>
        <w:br w:type="page" w:clear="all"/>
      </w:r>
      <w:r/>
    </w:p>
    <w:p>
      <w:pPr>
        <w:jc w:val="left"/>
        <w:keepLines/>
        <w:keepNext/>
        <w:spacing w:before="360" w:after="200" w:line="360" w:lineRule="auto"/>
        <w:rPr>
          <w:rFonts w:ascii="Arial" w:hAnsi="Arial"/>
          <w:b/>
          <w:bCs/>
          <w:iCs/>
          <w:color w:val="000000"/>
          <w:sz w:val="36"/>
          <w:szCs w:val="36"/>
        </w:rPr>
        <w:outlineLvl w:val="1"/>
      </w:pPr>
      <w:r>
        <w:rPr>
          <w:rFonts w:hint="eastAsia" w:ascii="Arial" w:hAnsi="Arial"/>
          <w:b/>
          <w:iCs/>
          <w:color w:val="000000"/>
          <w:sz w:val="36"/>
        </w:rPr>
        <w:t xml:space="preserve">十五、商务要求响应及偏离表</w:t>
      </w:r>
      <w:r/>
    </w:p>
    <w:p>
      <w:pPr>
        <w:jc w:val="center"/>
        <w:spacing w:line="360" w:lineRule="auto"/>
        <w:tabs>
          <w:tab w:val="left" w:pos="360" w:leader="none"/>
        </w:tabs>
        <w:rPr>
          <w:rFonts w:ascii="黑体" w:hAnsi="黑体" w:eastAsia="黑体" w:cs="宋体"/>
          <w:bCs/>
          <w:color w:val="000000"/>
          <w:sz w:val="36"/>
          <w:szCs w:val="28"/>
        </w:rPr>
      </w:pPr>
      <w:r>
        <w:rPr>
          <w:rFonts w:hint="eastAsia" w:ascii="黑体" w:hAnsi="黑体" w:eastAsia="黑体" w:cs="宋体"/>
          <w:bCs/>
          <w:color w:val="000000"/>
          <w:sz w:val="36"/>
          <w:szCs w:val="28"/>
        </w:rPr>
        <w:t xml:space="preserve">商务要求响应及偏离表</w:t>
      </w:r>
      <w:r/>
    </w:p>
    <w:p>
      <w:pPr>
        <w:jc w:val="left"/>
        <w:spacing w:line="360" w:lineRule="auto"/>
        <w:rPr>
          <w:color w:val="000000"/>
        </w:rPr>
      </w:pPr>
      <w:r>
        <w:rPr>
          <w:rFonts w:hint="eastAsia" w:ascii="宋体" w:hAnsi="宋体" w:cs="方正仿宋_GBK"/>
          <w:color w:val="000000"/>
          <w:sz w:val="24"/>
          <w:szCs w:val="24"/>
        </w:rPr>
        <w:t xml:space="preserve">项目名称：      项目编号：      分包号：</w:t>
      </w:r>
      <w:r/>
    </w:p>
    <w:tbl>
      <w:tblPr>
        <w:tblStyle w:val="700"/>
        <w:tblW w:w="974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3261"/>
        <w:gridCol w:w="3402"/>
        <w:gridCol w:w="1842"/>
      </w:tblGrid>
      <w:tr>
        <w:trPr>
          <w:cantSplit/>
        </w:trPr>
        <w:tc>
          <w:tcPr>
            <w:tcW w:w="1242" w:type="dxa"/>
            <w:vAlign w:val="center"/>
            <w:textDirection w:val="lrTb"/>
            <w:noWrap w:val="false"/>
          </w:tcPr>
          <w:p>
            <w:pPr>
              <w:jc w:val="center"/>
              <w:rPr>
                <w:rFonts w:ascii="宋体" w:hAnsi="宋体" w:cs="Times New Roman"/>
                <w:color w:val="000000"/>
                <w:sz w:val="24"/>
                <w:szCs w:val="24"/>
              </w:rPr>
            </w:pPr>
            <w:r/>
            <w:bookmarkStart w:id="43" w:name="_Hlt24879081"/>
            <w:r/>
            <w:bookmarkEnd w:id="43"/>
            <w:r/>
            <w:bookmarkStart w:id="44" w:name="_Hlt26580838"/>
            <w:r/>
            <w:bookmarkEnd w:id="44"/>
            <w:r/>
            <w:bookmarkStart w:id="45" w:name="_Hlt26955064"/>
            <w:r/>
            <w:bookmarkEnd w:id="45"/>
            <w:r/>
            <w:bookmarkStart w:id="46" w:name="_Hlt26609391"/>
            <w:r/>
            <w:bookmarkEnd w:id="46"/>
            <w:r/>
            <w:bookmarkStart w:id="47" w:name="_Hlt26671343"/>
            <w:r/>
            <w:bookmarkEnd w:id="47"/>
            <w:r/>
            <w:bookmarkStart w:id="48" w:name="_Hlt26782999"/>
            <w:r/>
            <w:bookmarkEnd w:id="48"/>
            <w:r/>
            <w:bookmarkStart w:id="49" w:name="_Hlt26955056"/>
            <w:r/>
            <w:bookmarkEnd w:id="49"/>
            <w:r/>
            <w:bookmarkStart w:id="50" w:name="_Hlt26671372"/>
            <w:r/>
            <w:bookmarkEnd w:id="50"/>
            <w:r>
              <w:rPr>
                <w:rFonts w:hint="eastAsia" w:ascii="宋体" w:hAnsi="宋体" w:cs="Times New Roman"/>
                <w:color w:val="000000"/>
                <w:sz w:val="24"/>
                <w:szCs w:val="24"/>
              </w:rPr>
              <w:t xml:space="preserve">序号</w:t>
            </w:r>
            <w:r/>
          </w:p>
        </w:tc>
        <w:tc>
          <w:tcPr>
            <w:tcW w:w="3261" w:type="dxa"/>
            <w:vAlign w:val="center"/>
            <w:textDirection w:val="lrTb"/>
            <w:noWrap w:val="false"/>
          </w:tcPr>
          <w:p>
            <w:pPr>
              <w:jc w:val="center"/>
              <w:rPr>
                <w:rFonts w:ascii="宋体" w:hAnsi="宋体" w:cs="Times New Roman"/>
                <w:color w:val="000000"/>
                <w:sz w:val="24"/>
                <w:szCs w:val="24"/>
              </w:rPr>
            </w:pPr>
            <w:r>
              <w:rPr>
                <w:rFonts w:hint="eastAsia" w:ascii="宋体" w:hAnsi="宋体" w:cs="Times New Roman"/>
                <w:color w:val="000000"/>
                <w:sz w:val="24"/>
                <w:szCs w:val="24"/>
              </w:rPr>
              <w:t xml:space="preserve">招标文件要求</w:t>
            </w:r>
            <w:r/>
          </w:p>
        </w:tc>
        <w:tc>
          <w:tcPr>
            <w:tcW w:w="3402" w:type="dxa"/>
            <w:vAlign w:val="center"/>
            <w:textDirection w:val="lrTb"/>
            <w:noWrap w:val="false"/>
          </w:tcPr>
          <w:p>
            <w:pPr>
              <w:jc w:val="center"/>
              <w:rPr>
                <w:rFonts w:ascii="宋体" w:hAnsi="宋体" w:cs="Times New Roman"/>
                <w:color w:val="000000"/>
                <w:sz w:val="24"/>
                <w:szCs w:val="24"/>
              </w:rPr>
            </w:pPr>
            <w:r>
              <w:rPr>
                <w:rFonts w:hint="eastAsia" w:ascii="宋体" w:hAnsi="宋体" w:cs="Times New Roman"/>
                <w:color w:val="000000"/>
                <w:sz w:val="24"/>
                <w:szCs w:val="24"/>
              </w:rPr>
              <w:t xml:space="preserve">投标响应情况</w:t>
            </w:r>
            <w:r/>
          </w:p>
        </w:tc>
        <w:tc>
          <w:tcPr>
            <w:tcW w:w="1842" w:type="dxa"/>
            <w:vAlign w:val="center"/>
            <w:textDirection w:val="lrTb"/>
            <w:noWrap w:val="false"/>
          </w:tcPr>
          <w:p>
            <w:pPr>
              <w:jc w:val="center"/>
              <w:rPr>
                <w:rFonts w:ascii="宋体" w:hAnsi="宋体" w:cs="Times New Roman"/>
                <w:color w:val="000000"/>
                <w:sz w:val="24"/>
                <w:szCs w:val="24"/>
              </w:rPr>
            </w:pPr>
            <w:r>
              <w:rPr>
                <w:rFonts w:hint="eastAsia" w:ascii="宋体" w:hAnsi="宋体" w:cs="Times New Roman"/>
                <w:color w:val="000000"/>
                <w:sz w:val="24"/>
                <w:szCs w:val="24"/>
              </w:rPr>
              <w:t xml:space="preserve">超出、符合或偏离</w:t>
            </w:r>
            <w:r/>
          </w:p>
        </w:tc>
      </w:tr>
      <w:tr>
        <w:trPr>
          <w:cantSplit/>
          <w:trHeight w:val="640"/>
        </w:trPr>
        <w:tc>
          <w:tcPr>
            <w:tcW w:w="1242" w:type="dxa"/>
            <w:vAlign w:val="center"/>
            <w:textDirection w:val="lrTb"/>
            <w:noWrap w:val="false"/>
          </w:tcPr>
          <w:p>
            <w:pPr>
              <w:jc w:val="center"/>
              <w:rPr>
                <w:rFonts w:ascii="宋体" w:hAnsi="宋体" w:cs="Times New Roman"/>
                <w:color w:val="000000"/>
                <w:sz w:val="24"/>
                <w:szCs w:val="24"/>
              </w:rPr>
            </w:pPr>
            <w:r>
              <w:rPr>
                <w:rFonts w:hint="eastAsia" w:ascii="宋体" w:hAnsi="宋体" w:cs="Times New Roman"/>
                <w:color w:val="000000"/>
                <w:sz w:val="24"/>
                <w:szCs w:val="24"/>
              </w:rPr>
              <w:t xml:space="preserve">1</w:t>
            </w:r>
            <w:r/>
          </w:p>
        </w:tc>
        <w:tc>
          <w:tcPr>
            <w:tcW w:w="3261"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c>
          <w:tcPr>
            <w:tcW w:w="3402"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c>
          <w:tcPr>
            <w:tcW w:w="1842"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r>
      <w:tr>
        <w:trPr>
          <w:cantSplit/>
          <w:trHeight w:val="640"/>
        </w:trPr>
        <w:tc>
          <w:tcPr>
            <w:tcW w:w="1242" w:type="dxa"/>
            <w:vAlign w:val="center"/>
            <w:textDirection w:val="lrTb"/>
            <w:noWrap w:val="false"/>
          </w:tcPr>
          <w:p>
            <w:pPr>
              <w:jc w:val="center"/>
              <w:rPr>
                <w:rFonts w:ascii="宋体" w:hAnsi="宋体" w:cs="Times New Roman"/>
                <w:color w:val="000000"/>
                <w:sz w:val="24"/>
                <w:szCs w:val="24"/>
              </w:rPr>
            </w:pPr>
            <w:r>
              <w:rPr>
                <w:rFonts w:hint="eastAsia" w:ascii="宋体" w:hAnsi="宋体" w:cs="Times New Roman"/>
                <w:color w:val="000000"/>
                <w:sz w:val="24"/>
                <w:szCs w:val="24"/>
              </w:rPr>
              <w:t xml:space="preserve">2</w:t>
            </w:r>
            <w:r/>
          </w:p>
        </w:tc>
        <w:tc>
          <w:tcPr>
            <w:tcW w:w="3261"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c>
          <w:tcPr>
            <w:tcW w:w="3402"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c>
          <w:tcPr>
            <w:tcW w:w="1842"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r>
      <w:tr>
        <w:trPr>
          <w:cantSplit/>
          <w:trHeight w:val="640"/>
        </w:trPr>
        <w:tc>
          <w:tcPr>
            <w:tcW w:w="1242" w:type="dxa"/>
            <w:vAlign w:val="center"/>
            <w:textDirection w:val="lrTb"/>
            <w:noWrap w:val="false"/>
          </w:tcPr>
          <w:p>
            <w:pPr>
              <w:jc w:val="center"/>
              <w:rPr>
                <w:rFonts w:ascii="宋体" w:hAnsi="宋体" w:cs="Times New Roman"/>
                <w:color w:val="000000"/>
                <w:sz w:val="24"/>
                <w:szCs w:val="24"/>
              </w:rPr>
            </w:pPr>
            <w:r>
              <w:rPr>
                <w:rFonts w:hint="eastAsia" w:ascii="宋体" w:hAnsi="宋体" w:cs="Times New Roman"/>
                <w:color w:val="000000"/>
                <w:sz w:val="24"/>
                <w:szCs w:val="24"/>
              </w:rPr>
              <w:t xml:space="preserve">3</w:t>
            </w:r>
            <w:r/>
          </w:p>
        </w:tc>
        <w:tc>
          <w:tcPr>
            <w:tcW w:w="3261"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c>
          <w:tcPr>
            <w:tcW w:w="3402"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c>
          <w:tcPr>
            <w:tcW w:w="1842"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r>
      <w:tr>
        <w:trPr>
          <w:cantSplit/>
          <w:trHeight w:val="640"/>
        </w:trPr>
        <w:tc>
          <w:tcPr>
            <w:tcW w:w="1242"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t xml:space="preserve">…</w:t>
            </w:r>
            <w:r/>
          </w:p>
        </w:tc>
        <w:tc>
          <w:tcPr>
            <w:tcW w:w="3261"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c>
          <w:tcPr>
            <w:tcW w:w="3402"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c>
          <w:tcPr>
            <w:tcW w:w="1842"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r>
    </w:tbl>
    <w:p>
      <w:pPr>
        <w:ind w:firstLine="480"/>
        <w:spacing w:line="500" w:lineRule="exact"/>
        <w:rPr>
          <w:rFonts w:ascii="宋体" w:hAnsi="宋体" w:cs="Times New Roman"/>
          <w:color w:val="000000"/>
          <w:sz w:val="24"/>
          <w:szCs w:val="24"/>
        </w:rPr>
      </w:pPr>
      <w:r>
        <w:rPr>
          <w:rFonts w:ascii="宋体" w:hAnsi="宋体" w:cs="Times New Roman"/>
          <w:color w:val="000000"/>
          <w:sz w:val="24"/>
          <w:szCs w:val="24"/>
        </w:rPr>
      </w:r>
      <w:r/>
    </w:p>
    <w:p>
      <w:pPr>
        <w:ind w:firstLine="480"/>
        <w:spacing w:line="500" w:lineRule="exact"/>
        <w:rPr>
          <w:rFonts w:ascii="宋体" w:hAnsi="宋体" w:cs="Times New Roman"/>
          <w:color w:val="000000"/>
          <w:sz w:val="24"/>
          <w:szCs w:val="24"/>
        </w:rPr>
      </w:pPr>
      <w:r>
        <w:rPr>
          <w:rFonts w:ascii="宋体" w:hAnsi="宋体" w:cs="Times New Roman"/>
          <w:color w:val="000000"/>
          <w:sz w:val="24"/>
          <w:szCs w:val="24"/>
        </w:rPr>
      </w:r>
      <w:r/>
    </w:p>
    <w:p>
      <w:pPr>
        <w:ind w:firstLine="480"/>
        <w:spacing w:line="360" w:lineRule="auto"/>
        <w:rPr>
          <w:rFonts w:ascii="Times New Roman" w:hAnsi="Times New Roman" w:cs="Times New Roman"/>
          <w:color w:val="000000"/>
          <w:sz w:val="24"/>
          <w:szCs w:val="24"/>
        </w:rPr>
      </w:pPr>
      <w:r>
        <w:rPr>
          <w:rFonts w:hint="eastAsia" w:ascii="Times New Roman" w:hAnsi="Times New Roman" w:cs="Times New Roman"/>
          <w:color w:val="000000"/>
          <w:sz w:val="24"/>
          <w:szCs w:val="24"/>
        </w:rPr>
        <w:t xml:space="preserve">投标人（盖章）：</w:t>
      </w:r>
      <w:r/>
    </w:p>
    <w:p>
      <w:pPr>
        <w:ind w:firstLine="480"/>
        <w:spacing w:line="360" w:lineRule="auto"/>
        <w:rPr>
          <w:rFonts w:ascii="Times New Roman" w:hAnsi="Times New Roman" w:cs="Times New Roman"/>
          <w:color w:val="000000"/>
          <w:sz w:val="24"/>
          <w:szCs w:val="24"/>
        </w:rPr>
      </w:pPr>
      <w:r>
        <w:rPr>
          <w:rFonts w:hint="eastAsia" w:ascii="Times New Roman" w:hAnsi="Times New Roman" w:cs="Times New Roman"/>
          <w:color w:val="000000"/>
          <w:sz w:val="24"/>
          <w:szCs w:val="24"/>
        </w:rPr>
        <w:t xml:space="preserve">法定代表人</w:t>
      </w:r>
      <w:r>
        <w:rPr>
          <w:rFonts w:cs="Times New Roman"/>
          <w:color w:val="000000"/>
          <w:sz w:val="24"/>
          <w:szCs w:val="24"/>
        </w:rPr>
        <w:t xml:space="preserve">（单位负责人）</w:t>
      </w:r>
      <w:r>
        <w:rPr>
          <w:rFonts w:hint="eastAsia" w:ascii="Times New Roman" w:hAnsi="Times New Roman" w:cs="Times New Roman"/>
          <w:color w:val="000000"/>
          <w:sz w:val="24"/>
          <w:szCs w:val="24"/>
        </w:rPr>
        <w:t xml:space="preserve">或委托代理人（签字或盖章）：</w:t>
      </w:r>
      <w:r/>
    </w:p>
    <w:p>
      <w:pPr>
        <w:ind w:firstLine="480"/>
        <w:spacing w:line="500" w:lineRule="exact"/>
        <w:rPr>
          <w:rFonts w:ascii="Times New Roman" w:hAnsi="Times New Roman" w:cs="Times New Roman"/>
          <w:color w:val="000000"/>
          <w:sz w:val="24"/>
          <w:szCs w:val="24"/>
        </w:rPr>
      </w:pPr>
      <w:r>
        <w:rPr>
          <w:rFonts w:hint="eastAsia" w:ascii="Times New Roman" w:hAnsi="Times New Roman" w:cs="Times New Roman"/>
          <w:color w:val="000000"/>
          <w:sz w:val="24"/>
          <w:szCs w:val="24"/>
        </w:rPr>
        <w:t xml:space="preserve">日期：年月日</w:t>
      </w:r>
      <w:r/>
    </w:p>
    <w:p>
      <w:pPr>
        <w:rPr>
          <w:color w:val="000000"/>
        </w:rPr>
      </w:pPr>
      <w:r/>
      <w:bookmarkStart w:id="51" w:name="_Hlt26609389"/>
      <w:r/>
      <w:bookmarkEnd w:id="51"/>
      <w:r/>
      <w:bookmarkStart w:id="52" w:name="_格式2__法定代表人授权书"/>
      <w:r/>
      <w:bookmarkEnd w:id="52"/>
      <w:r/>
      <w:bookmarkStart w:id="53" w:name="_Hlt26671374"/>
      <w:r/>
      <w:bookmarkEnd w:id="53"/>
      <w:r/>
      <w:bookmarkStart w:id="54" w:name="_Hlt26955066"/>
      <w:r/>
      <w:bookmarkEnd w:id="54"/>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rFonts w:ascii="Arial" w:hAnsi="Arial"/>
          <w:b/>
          <w:iCs/>
          <w:color w:val="000000"/>
          <w:sz w:val="36"/>
        </w:rPr>
      </w:pPr>
      <w:r>
        <w:rPr>
          <w:rFonts w:hint="eastAsia" w:ascii="Arial" w:hAnsi="Arial"/>
          <w:b/>
          <w:iCs/>
          <w:color w:val="000000"/>
          <w:sz w:val="36"/>
        </w:rPr>
        <w:br w:type="page" w:clear="all"/>
      </w:r>
      <w:r/>
    </w:p>
    <w:p>
      <w:pPr>
        <w:jc w:val="left"/>
        <w:keepLines/>
        <w:keepNext/>
        <w:spacing w:before="360" w:after="200" w:line="360" w:lineRule="auto"/>
        <w:rPr>
          <w:rFonts w:ascii="Arial" w:hAnsi="Arial"/>
          <w:b/>
          <w:iCs/>
          <w:color w:val="000000"/>
          <w:sz w:val="36"/>
        </w:rPr>
        <w:outlineLvl w:val="1"/>
      </w:pPr>
      <w:r>
        <w:rPr>
          <w:rFonts w:hint="eastAsia" w:ascii="Arial" w:hAnsi="Arial"/>
          <w:b/>
          <w:iCs/>
          <w:color w:val="000000"/>
          <w:sz w:val="36"/>
        </w:rPr>
        <w:t xml:space="preserve">十六、类似项目业绩一览表</w:t>
      </w:r>
      <w:r/>
    </w:p>
    <w:p>
      <w:pPr>
        <w:jc w:val="center"/>
        <w:spacing w:line="360" w:lineRule="auto"/>
        <w:tabs>
          <w:tab w:val="left" w:pos="360" w:leader="none"/>
        </w:tabs>
        <w:rPr>
          <w:rFonts w:ascii="黑体" w:hAnsi="黑体" w:eastAsia="黑体" w:cs="宋体"/>
          <w:bCs/>
          <w:color w:val="000000"/>
          <w:sz w:val="36"/>
          <w:szCs w:val="28"/>
        </w:rPr>
      </w:pPr>
      <w:r>
        <w:rPr>
          <w:rFonts w:hint="eastAsia" w:ascii="黑体" w:hAnsi="黑体" w:eastAsia="黑体" w:cs="宋体"/>
          <w:bCs/>
          <w:color w:val="000000"/>
          <w:sz w:val="36"/>
          <w:szCs w:val="28"/>
        </w:rPr>
        <w:t xml:space="preserve">类似项目业绩一览表</w:t>
      </w:r>
      <w:r/>
    </w:p>
    <w:p>
      <w:pPr>
        <w:ind w:firstLine="240"/>
        <w:jc w:val="left"/>
        <w:spacing w:line="360" w:lineRule="auto"/>
        <w:rPr>
          <w:color w:val="000000"/>
        </w:rPr>
      </w:pPr>
      <w:r>
        <w:rPr>
          <w:rFonts w:hint="eastAsia" w:ascii="宋体" w:hAnsi="宋体" w:cs="方正仿宋_GBK"/>
          <w:color w:val="000000"/>
          <w:sz w:val="24"/>
          <w:szCs w:val="24"/>
        </w:rPr>
        <w:t xml:space="preserve">项目名称：    项目编号：   分包号：</w:t>
      </w:r>
      <w:r/>
    </w:p>
    <w:tbl>
      <w:tblPr>
        <w:tblStyle w:val="700"/>
        <w:tblW w:w="9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8"/>
        <w:gridCol w:w="2686"/>
        <w:gridCol w:w="1850"/>
        <w:gridCol w:w="1985"/>
        <w:gridCol w:w="1309"/>
      </w:tblGrid>
      <w:tr>
        <w:trPr>
          <w:cantSplit/>
          <w:jc w:val="center"/>
        </w:trPr>
        <w:tc>
          <w:tcPr>
            <w:tcW w:w="1808" w:type="dxa"/>
            <w:vAlign w:val="center"/>
            <w:textDirection w:val="lrTb"/>
            <w:noWrap w:val="false"/>
          </w:tcPr>
          <w:p>
            <w:pPr>
              <w:jc w:val="center"/>
              <w:spacing w:line="360" w:lineRule="auto"/>
              <w:rPr>
                <w:rFonts w:ascii="宋体" w:hAnsi="宋体" w:cs="Times New Roman"/>
                <w:color w:val="000000"/>
                <w:sz w:val="24"/>
                <w:szCs w:val="24"/>
              </w:rPr>
            </w:pPr>
            <w:r>
              <w:rPr>
                <w:rFonts w:hint="eastAsia" w:ascii="宋体" w:hAnsi="宋体" w:cs="Times New Roman"/>
                <w:color w:val="000000"/>
                <w:sz w:val="24"/>
                <w:szCs w:val="24"/>
              </w:rPr>
              <w:t xml:space="preserve">序号</w:t>
            </w:r>
            <w:r/>
          </w:p>
        </w:tc>
        <w:tc>
          <w:tcPr>
            <w:tcW w:w="2686" w:type="dxa"/>
            <w:vAlign w:val="center"/>
            <w:textDirection w:val="lrTb"/>
            <w:noWrap w:val="false"/>
          </w:tcPr>
          <w:p>
            <w:pPr>
              <w:jc w:val="center"/>
              <w:spacing w:line="360" w:lineRule="auto"/>
              <w:rPr>
                <w:rFonts w:ascii="宋体" w:hAnsi="宋体" w:cs="Times New Roman"/>
                <w:color w:val="000000"/>
                <w:sz w:val="24"/>
                <w:szCs w:val="24"/>
              </w:rPr>
            </w:pPr>
            <w:r>
              <w:rPr>
                <w:rFonts w:hint="eastAsia" w:ascii="宋体" w:hAnsi="宋体" w:cs="Times New Roman"/>
                <w:color w:val="000000"/>
                <w:sz w:val="24"/>
                <w:szCs w:val="24"/>
              </w:rPr>
              <w:t xml:space="preserve">项目名称</w:t>
            </w:r>
            <w:r/>
          </w:p>
        </w:tc>
        <w:tc>
          <w:tcPr>
            <w:tcW w:w="1850" w:type="dxa"/>
            <w:vAlign w:val="center"/>
            <w:textDirection w:val="lrTb"/>
            <w:noWrap w:val="false"/>
          </w:tcPr>
          <w:p>
            <w:pPr>
              <w:jc w:val="center"/>
              <w:spacing w:line="360" w:lineRule="auto"/>
              <w:rPr>
                <w:rFonts w:ascii="宋体" w:hAnsi="宋体" w:cs="Times New Roman"/>
                <w:color w:val="000000"/>
                <w:sz w:val="24"/>
                <w:szCs w:val="24"/>
              </w:rPr>
            </w:pPr>
            <w:r>
              <w:rPr>
                <w:rFonts w:hint="eastAsia" w:ascii="宋体" w:hAnsi="宋体" w:cs="Times New Roman"/>
                <w:color w:val="000000"/>
                <w:sz w:val="24"/>
                <w:szCs w:val="24"/>
              </w:rPr>
              <w:t xml:space="preserve">签订时间</w:t>
            </w:r>
            <w:r/>
          </w:p>
        </w:tc>
        <w:tc>
          <w:tcPr>
            <w:tcW w:w="1985" w:type="dxa"/>
            <w:vAlign w:val="center"/>
            <w:textDirection w:val="lrTb"/>
            <w:noWrap w:val="false"/>
          </w:tcPr>
          <w:p>
            <w:pPr>
              <w:jc w:val="center"/>
              <w:spacing w:line="360" w:lineRule="auto"/>
              <w:rPr>
                <w:rFonts w:ascii="宋体" w:hAnsi="宋体" w:cs="Times New Roman"/>
                <w:color w:val="000000"/>
                <w:sz w:val="24"/>
                <w:szCs w:val="24"/>
              </w:rPr>
            </w:pPr>
            <w:r>
              <w:rPr>
                <w:rFonts w:hint="eastAsia" w:ascii="宋体" w:hAnsi="宋体" w:cs="Times New Roman"/>
                <w:color w:val="000000"/>
                <w:sz w:val="24"/>
                <w:szCs w:val="24"/>
              </w:rPr>
              <w:t xml:space="preserve">采购单位</w:t>
            </w:r>
            <w:r/>
          </w:p>
        </w:tc>
        <w:tc>
          <w:tcPr>
            <w:tcW w:w="1309" w:type="dxa"/>
            <w:vAlign w:val="center"/>
            <w:textDirection w:val="lrTb"/>
            <w:noWrap w:val="false"/>
          </w:tcPr>
          <w:p>
            <w:pPr>
              <w:jc w:val="center"/>
              <w:spacing w:line="360" w:lineRule="auto"/>
              <w:rPr>
                <w:rFonts w:ascii="宋体" w:hAnsi="宋体" w:cs="Times New Roman"/>
                <w:color w:val="000000"/>
                <w:sz w:val="24"/>
                <w:szCs w:val="24"/>
              </w:rPr>
            </w:pPr>
            <w:r>
              <w:rPr>
                <w:rFonts w:hint="eastAsia" w:ascii="宋体" w:hAnsi="宋体" w:cs="Times New Roman"/>
                <w:color w:val="000000"/>
                <w:sz w:val="24"/>
                <w:szCs w:val="24"/>
              </w:rPr>
              <w:t xml:space="preserve">主要标的</w:t>
            </w:r>
            <w:r/>
          </w:p>
        </w:tc>
      </w:tr>
      <w:tr>
        <w:trPr>
          <w:cantSplit/>
          <w:jc w:val="center"/>
          <w:trHeight w:val="640"/>
        </w:trPr>
        <w:tc>
          <w:tcPr>
            <w:tcW w:w="1808" w:type="dxa"/>
            <w:vAlign w:val="center"/>
            <w:textDirection w:val="lrTb"/>
            <w:noWrap w:val="false"/>
          </w:tcPr>
          <w:p>
            <w:pPr>
              <w:jc w:val="center"/>
              <w:rPr>
                <w:rFonts w:ascii="宋体" w:hAnsi="宋体" w:cs="Times New Roman"/>
                <w:color w:val="000000"/>
                <w:sz w:val="24"/>
                <w:szCs w:val="24"/>
              </w:rPr>
            </w:pPr>
            <w:r>
              <w:rPr>
                <w:rFonts w:hint="eastAsia" w:ascii="宋体" w:hAnsi="宋体" w:cs="Times New Roman"/>
                <w:color w:val="000000"/>
                <w:sz w:val="24"/>
                <w:szCs w:val="24"/>
              </w:rPr>
              <w:t xml:space="preserve">1</w:t>
            </w:r>
            <w:r/>
          </w:p>
        </w:tc>
        <w:tc>
          <w:tcPr>
            <w:tcW w:w="2686"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c>
          <w:tcPr>
            <w:tcW w:w="1850" w:type="dxa"/>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c>
          <w:tcPr>
            <w:tcW w:w="1985"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c>
          <w:tcPr>
            <w:tcW w:w="1309"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r>
      <w:tr>
        <w:trPr>
          <w:cantSplit/>
          <w:jc w:val="center"/>
          <w:trHeight w:val="640"/>
        </w:trPr>
        <w:tc>
          <w:tcPr>
            <w:tcW w:w="1808" w:type="dxa"/>
            <w:vAlign w:val="center"/>
            <w:textDirection w:val="lrTb"/>
            <w:noWrap w:val="false"/>
          </w:tcPr>
          <w:p>
            <w:pPr>
              <w:jc w:val="center"/>
              <w:rPr>
                <w:rFonts w:ascii="宋体" w:hAnsi="宋体" w:cs="Times New Roman"/>
                <w:color w:val="000000"/>
                <w:sz w:val="24"/>
                <w:szCs w:val="24"/>
              </w:rPr>
            </w:pPr>
            <w:r>
              <w:rPr>
                <w:rFonts w:hint="eastAsia" w:ascii="宋体" w:hAnsi="宋体" w:cs="Times New Roman"/>
                <w:color w:val="000000"/>
                <w:sz w:val="24"/>
                <w:szCs w:val="24"/>
              </w:rPr>
              <w:t xml:space="preserve">2</w:t>
            </w:r>
            <w:r/>
          </w:p>
        </w:tc>
        <w:tc>
          <w:tcPr>
            <w:tcW w:w="2686"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c>
          <w:tcPr>
            <w:tcW w:w="1850" w:type="dxa"/>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c>
          <w:tcPr>
            <w:tcW w:w="1985"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c>
          <w:tcPr>
            <w:tcW w:w="1309"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r>
      <w:tr>
        <w:trPr>
          <w:cantSplit/>
          <w:jc w:val="center"/>
          <w:trHeight w:val="640"/>
        </w:trPr>
        <w:tc>
          <w:tcPr>
            <w:tcW w:w="1808" w:type="dxa"/>
            <w:vAlign w:val="center"/>
            <w:textDirection w:val="lrTb"/>
            <w:noWrap w:val="false"/>
          </w:tcPr>
          <w:p>
            <w:pPr>
              <w:jc w:val="center"/>
              <w:rPr>
                <w:rFonts w:ascii="宋体" w:hAnsi="宋体" w:cs="Times New Roman"/>
                <w:color w:val="000000"/>
                <w:sz w:val="24"/>
                <w:szCs w:val="24"/>
              </w:rPr>
            </w:pPr>
            <w:r>
              <w:rPr>
                <w:rFonts w:hint="eastAsia" w:ascii="宋体" w:hAnsi="宋体" w:cs="Times New Roman"/>
                <w:color w:val="000000"/>
                <w:sz w:val="24"/>
                <w:szCs w:val="24"/>
              </w:rPr>
              <w:t xml:space="preserve">3</w:t>
            </w:r>
            <w:r/>
          </w:p>
        </w:tc>
        <w:tc>
          <w:tcPr>
            <w:tcW w:w="2686"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c>
          <w:tcPr>
            <w:tcW w:w="1850" w:type="dxa"/>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c>
          <w:tcPr>
            <w:tcW w:w="1985"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c>
          <w:tcPr>
            <w:tcW w:w="1309"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r>
      <w:tr>
        <w:trPr>
          <w:cantSplit/>
          <w:jc w:val="center"/>
          <w:trHeight w:val="640"/>
        </w:trPr>
        <w:tc>
          <w:tcPr>
            <w:tcW w:w="1808"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t xml:space="preserve">…</w:t>
            </w:r>
            <w:r/>
          </w:p>
        </w:tc>
        <w:tc>
          <w:tcPr>
            <w:tcW w:w="2686"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c>
          <w:tcPr>
            <w:tcW w:w="1850" w:type="dxa"/>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c>
          <w:tcPr>
            <w:tcW w:w="1985"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c>
          <w:tcPr>
            <w:tcW w:w="1309"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r>
    </w:tbl>
    <w:p>
      <w:pPr>
        <w:ind w:firstLine="480"/>
        <w:spacing w:line="500" w:lineRule="exact"/>
        <w:rPr>
          <w:rFonts w:ascii="宋体" w:hAnsi="宋体" w:cs="Times New Roman"/>
          <w:color w:val="000000"/>
          <w:sz w:val="24"/>
          <w:szCs w:val="24"/>
        </w:rPr>
      </w:pPr>
      <w:r>
        <w:rPr>
          <w:rFonts w:ascii="宋体" w:hAnsi="宋体" w:cs="Times New Roman"/>
          <w:color w:val="000000"/>
          <w:sz w:val="24"/>
          <w:szCs w:val="24"/>
        </w:rPr>
      </w:r>
      <w:r/>
    </w:p>
    <w:p>
      <w:pPr>
        <w:ind w:firstLine="480"/>
        <w:spacing w:line="500" w:lineRule="exact"/>
        <w:rPr>
          <w:rFonts w:ascii="宋体" w:hAnsi="宋体" w:cs="Times New Roman"/>
          <w:color w:val="000000"/>
          <w:sz w:val="24"/>
          <w:szCs w:val="24"/>
        </w:rPr>
      </w:pPr>
      <w:r>
        <w:rPr>
          <w:rFonts w:ascii="宋体" w:hAnsi="宋体" w:cs="Times New Roman"/>
          <w:color w:val="000000"/>
          <w:sz w:val="24"/>
          <w:szCs w:val="24"/>
        </w:rPr>
      </w:r>
      <w:r/>
    </w:p>
    <w:p>
      <w:pPr>
        <w:ind w:firstLine="480"/>
        <w:spacing w:line="360" w:lineRule="auto"/>
        <w:rPr>
          <w:rFonts w:ascii="Times New Roman" w:hAnsi="Times New Roman" w:cs="Times New Roman"/>
          <w:color w:val="000000"/>
          <w:sz w:val="24"/>
          <w:szCs w:val="24"/>
        </w:rPr>
      </w:pPr>
      <w:r>
        <w:rPr>
          <w:rFonts w:hint="eastAsia" w:ascii="Times New Roman" w:hAnsi="Times New Roman" w:cs="Times New Roman"/>
          <w:color w:val="000000"/>
          <w:sz w:val="24"/>
          <w:szCs w:val="24"/>
        </w:rPr>
        <w:t xml:space="preserve">投标人（盖章）：</w:t>
      </w:r>
      <w:r/>
    </w:p>
    <w:p>
      <w:pPr>
        <w:ind w:firstLine="480"/>
        <w:spacing w:line="360" w:lineRule="auto"/>
        <w:rPr>
          <w:rFonts w:ascii="Times New Roman" w:hAnsi="Times New Roman" w:cs="Times New Roman"/>
          <w:color w:val="000000"/>
          <w:sz w:val="24"/>
          <w:szCs w:val="24"/>
        </w:rPr>
      </w:pPr>
      <w:r>
        <w:rPr>
          <w:rFonts w:hint="eastAsia" w:ascii="Times New Roman" w:hAnsi="Times New Roman" w:cs="Times New Roman"/>
          <w:color w:val="000000"/>
          <w:sz w:val="24"/>
          <w:szCs w:val="24"/>
        </w:rPr>
        <w:t xml:space="preserve">法定代表人</w:t>
      </w:r>
      <w:r>
        <w:rPr>
          <w:rFonts w:cs="Times New Roman"/>
          <w:color w:val="000000"/>
          <w:sz w:val="24"/>
          <w:szCs w:val="24"/>
        </w:rPr>
        <w:t xml:space="preserve">（单位负责人）</w:t>
      </w:r>
      <w:r>
        <w:rPr>
          <w:rFonts w:hint="eastAsia" w:ascii="Times New Roman" w:hAnsi="Times New Roman" w:cs="Times New Roman"/>
          <w:color w:val="000000"/>
          <w:sz w:val="24"/>
          <w:szCs w:val="24"/>
        </w:rPr>
        <w:t xml:space="preserve">或委托代理人（签字或盖章）：</w:t>
      </w:r>
      <w:r/>
    </w:p>
    <w:p>
      <w:pPr>
        <w:ind w:firstLine="480"/>
        <w:spacing w:line="500" w:lineRule="exact"/>
        <w:rPr>
          <w:rFonts w:ascii="Times New Roman" w:hAnsi="Times New Roman" w:cs="Times New Roman"/>
          <w:color w:val="000000"/>
          <w:sz w:val="24"/>
          <w:szCs w:val="24"/>
        </w:rPr>
      </w:pPr>
      <w:r>
        <w:rPr>
          <w:rFonts w:hint="eastAsia" w:ascii="Times New Roman" w:hAnsi="Times New Roman" w:cs="Times New Roman"/>
          <w:color w:val="000000"/>
          <w:sz w:val="24"/>
          <w:szCs w:val="24"/>
        </w:rPr>
        <w:t xml:space="preserve">日期：年月日</w:t>
      </w:r>
      <w:r/>
    </w:p>
    <w:p>
      <w:pPr>
        <w:rPr>
          <w:color w:val="000000"/>
        </w:rPr>
      </w:pPr>
      <w:r>
        <w:rPr>
          <w:color w:val="000000"/>
        </w:rPr>
      </w:r>
      <w:r/>
    </w:p>
    <w:p>
      <w:pPr>
        <w:rPr>
          <w:color w:val="000000"/>
        </w:rPr>
      </w:pPr>
      <w:r>
        <w:rPr>
          <w:color w:val="000000"/>
        </w:rPr>
      </w:r>
      <w:r/>
    </w:p>
    <w:p>
      <w:pPr>
        <w:rPr>
          <w:rFonts w:ascii="Arial" w:hAnsi="Arial"/>
          <w:iCs/>
          <w:color w:val="000000"/>
          <w:sz w:val="36"/>
        </w:rPr>
      </w:pPr>
      <w:r>
        <w:rPr>
          <w:rFonts w:ascii="Arial" w:hAnsi="Arial"/>
          <w:iCs/>
          <w:color w:val="000000"/>
          <w:sz w:val="36"/>
        </w:rPr>
      </w:r>
      <w:r/>
    </w:p>
    <w:p>
      <w:pPr>
        <w:rPr>
          <w:rFonts w:ascii="Arial" w:hAnsi="Arial"/>
          <w:iCs/>
          <w:color w:val="000000"/>
          <w:sz w:val="36"/>
        </w:rPr>
      </w:pPr>
      <w:r>
        <w:rPr>
          <w:rFonts w:ascii="Arial" w:hAnsi="Arial"/>
          <w:iCs/>
          <w:color w:val="000000"/>
          <w:sz w:val="36"/>
        </w:rPr>
      </w:r>
      <w:r/>
    </w:p>
    <w:p>
      <w:pPr>
        <w:rPr>
          <w:rFonts w:ascii="Arial" w:hAnsi="Arial"/>
          <w:iCs/>
          <w:color w:val="000000"/>
          <w:sz w:val="36"/>
        </w:rPr>
      </w:pPr>
      <w:r>
        <w:rPr>
          <w:rFonts w:ascii="Arial" w:hAnsi="Arial"/>
          <w:iCs/>
          <w:color w:val="000000"/>
          <w:sz w:val="36"/>
        </w:rPr>
      </w:r>
      <w:r/>
    </w:p>
    <w:p>
      <w:pPr>
        <w:rPr>
          <w:rFonts w:ascii="Arial" w:hAnsi="Arial"/>
          <w:iCs/>
          <w:color w:val="000000"/>
          <w:sz w:val="36"/>
        </w:rPr>
      </w:pPr>
      <w:r>
        <w:rPr>
          <w:rFonts w:ascii="Arial" w:hAnsi="Arial"/>
          <w:iCs/>
          <w:color w:val="000000"/>
          <w:sz w:val="36"/>
        </w:rPr>
      </w:r>
      <w:r/>
    </w:p>
    <w:p>
      <w:pPr>
        <w:rPr>
          <w:rFonts w:ascii="Arial" w:hAnsi="Arial"/>
          <w:iCs/>
          <w:color w:val="000000"/>
          <w:sz w:val="36"/>
        </w:rPr>
      </w:pPr>
      <w:r>
        <w:rPr>
          <w:rFonts w:ascii="Arial" w:hAnsi="Arial"/>
          <w:iCs/>
          <w:color w:val="000000"/>
          <w:sz w:val="36"/>
        </w:rPr>
      </w:r>
      <w:r/>
    </w:p>
    <w:p>
      <w:pPr>
        <w:rPr>
          <w:color w:val="000000"/>
        </w:rPr>
      </w:pPr>
      <w:r>
        <w:rPr>
          <w:rFonts w:hint="eastAsia" w:ascii="Arial" w:hAnsi="Arial"/>
          <w:b/>
          <w:iCs/>
          <w:color w:val="000000"/>
          <w:sz w:val="36"/>
        </w:rPr>
        <w:br w:type="page" w:clear="all"/>
      </w:r>
      <w:r/>
    </w:p>
    <w:p>
      <w:pPr>
        <w:rPr>
          <w:rFonts w:ascii="Arial" w:hAnsi="Arial"/>
          <w:b/>
          <w:color w:val="000000"/>
          <w:sz w:val="36"/>
        </w:rPr>
      </w:pPr>
      <w:r>
        <w:rPr>
          <w:rFonts w:hint="eastAsia" w:ascii="Arial" w:hAnsi="Arial"/>
          <w:b/>
          <w:color w:val="000000"/>
          <w:sz w:val="36"/>
        </w:rPr>
        <w:t xml:space="preserve">十七、开标一览表</w:t>
      </w:r>
      <w:r/>
    </w:p>
    <w:p>
      <w:pPr>
        <w:jc w:val="left"/>
        <w:spacing w:line="360" w:lineRule="auto"/>
        <w:rPr>
          <w:rFonts w:ascii="宋体" w:hAnsi="宋体" w:cs="方正仿宋_GBK"/>
          <w:color w:val="000000"/>
          <w:sz w:val="24"/>
          <w:szCs w:val="24"/>
        </w:rPr>
      </w:pPr>
      <w:r>
        <w:rPr>
          <w:rFonts w:ascii="宋体" w:hAnsi="宋体" w:cs="方正仿宋_GBK"/>
          <w:color w:val="000000"/>
          <w:sz w:val="24"/>
          <w:szCs w:val="24"/>
        </w:rPr>
      </w:r>
      <w:r/>
    </w:p>
    <w:p>
      <w:pPr>
        <w:jc w:val="left"/>
        <w:spacing w:line="360" w:lineRule="auto"/>
        <w:rPr>
          <w:rFonts w:ascii="Arial" w:hAnsi="Arial"/>
          <w:color w:val="000000"/>
          <w:sz w:val="36"/>
        </w:rPr>
      </w:pPr>
      <w:r>
        <w:rPr>
          <w:rFonts w:hint="eastAsia" w:ascii="宋体" w:hAnsi="宋体" w:cs="方正仿宋_GBK"/>
          <w:color w:val="000000"/>
          <w:sz w:val="24"/>
          <w:szCs w:val="24"/>
        </w:rPr>
        <w:t xml:space="preserve">项目编号：      分包号：</w:t>
      </w:r>
      <w:r/>
    </w:p>
    <w:p>
      <w:pPr>
        <w:ind w:firstLine="480"/>
        <w:jc w:val="right"/>
        <w:spacing w:line="500" w:lineRule="exact"/>
        <w:rPr>
          <w:rFonts w:ascii="Times New Roman" w:hAnsi="Times New Roman" w:cs="Times New Roman"/>
          <w:color w:val="000000"/>
          <w:sz w:val="24"/>
          <w:szCs w:val="24"/>
        </w:rPr>
      </w:pPr>
      <w:r>
        <w:rPr>
          <w:rFonts w:ascii="Times New Roman" w:hAnsi="Times New Roman" w:cs="Times New Roman"/>
          <w:color w:val="000000"/>
          <w:sz w:val="24"/>
          <w:szCs w:val="24"/>
        </w:rPr>
        <w:t xml:space="preserve">货币单位：人民币元</w:t>
      </w:r>
      <w:r/>
    </w:p>
    <w:tbl>
      <w:tblPr>
        <w:tblStyle w:val="76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4066"/>
      </w:tblGrid>
      <w:tr>
        <w:trPr/>
        <w:tc>
          <w:tcPr>
            <w:tcW w:w="2840" w:type="dxa"/>
            <w:textDirection w:val="lrTb"/>
            <w:noWrap w:val="false"/>
          </w:tcPr>
          <w:p>
            <w:pPr>
              <w:jc w:val="center"/>
              <w:spacing w:line="500" w:lineRule="exact"/>
              <w:rPr>
                <w:rFonts w:ascii="Times New Roman" w:hAnsi="Times New Roman" w:cs="Times New Roman"/>
                <w:color w:val="000000"/>
                <w:sz w:val="24"/>
                <w:szCs w:val="24"/>
              </w:rPr>
            </w:pPr>
            <w:r>
              <w:rPr>
                <w:rFonts w:ascii="Times New Roman" w:hAnsi="Times New Roman" w:cs="Times New Roman"/>
                <w:color w:val="000000"/>
                <w:sz w:val="24"/>
                <w:szCs w:val="24"/>
              </w:rPr>
              <w:t xml:space="preserve">项目名称</w:t>
            </w:r>
            <w:r/>
          </w:p>
        </w:tc>
        <w:tc>
          <w:tcPr>
            <w:tcW w:w="2841" w:type="dxa"/>
            <w:textDirection w:val="lrTb"/>
            <w:noWrap w:val="false"/>
          </w:tcPr>
          <w:p>
            <w:pPr>
              <w:jc w:val="center"/>
              <w:spacing w:line="500" w:lineRule="exact"/>
              <w:rPr>
                <w:rFonts w:ascii="Times New Roman" w:hAnsi="Times New Roman" w:cs="Times New Roman"/>
                <w:color w:val="000000"/>
                <w:sz w:val="24"/>
                <w:szCs w:val="24"/>
              </w:rPr>
            </w:pPr>
            <w:r>
              <w:rPr>
                <w:rFonts w:ascii="Times New Roman" w:hAnsi="Times New Roman" w:cs="Times New Roman"/>
                <w:color w:val="000000"/>
                <w:sz w:val="24"/>
                <w:szCs w:val="24"/>
              </w:rPr>
              <w:t xml:space="preserve">项目内容</w:t>
            </w:r>
            <w:r/>
          </w:p>
        </w:tc>
        <w:tc>
          <w:tcPr>
            <w:tcW w:w="4066" w:type="dxa"/>
            <w:textDirection w:val="lrTb"/>
            <w:noWrap w:val="false"/>
          </w:tcPr>
          <w:p>
            <w:pPr>
              <w:jc w:val="center"/>
              <w:spacing w:line="500" w:lineRule="exact"/>
              <w:rPr>
                <w:rFonts w:ascii="Times New Roman" w:hAnsi="Times New Roman" w:cs="Times New Roman"/>
                <w:color w:val="000000"/>
                <w:sz w:val="24"/>
                <w:szCs w:val="24"/>
              </w:rPr>
            </w:pPr>
            <w:r>
              <w:rPr>
                <w:rFonts w:ascii="Times New Roman" w:hAnsi="Times New Roman" w:cs="Times New Roman"/>
                <w:color w:val="000000"/>
                <w:sz w:val="24"/>
                <w:szCs w:val="24"/>
              </w:rPr>
              <w:t xml:space="preserve">总价</w:t>
            </w:r>
            <w:r>
              <w:rPr>
                <w:rFonts w:hint="eastAsia" w:ascii="Times New Roman" w:hAnsi="Times New Roman" w:cs="Times New Roman"/>
                <w:color w:val="000000"/>
                <w:sz w:val="24"/>
                <w:szCs w:val="24"/>
              </w:rPr>
              <w:t xml:space="preserve">（小写）</w:t>
            </w:r>
            <w:r/>
          </w:p>
        </w:tc>
      </w:tr>
      <w:tr>
        <w:trPr/>
        <w:tc>
          <w:tcPr>
            <w:tcW w:w="2840" w:type="dxa"/>
            <w:textDirection w:val="lrTb"/>
            <w:noWrap w:val="false"/>
          </w:tcPr>
          <w:p>
            <w:pPr>
              <w:jc w:val="center"/>
              <w:spacing w:line="500" w:lineRule="exact"/>
              <w:rPr>
                <w:rFonts w:ascii="Times New Roman" w:hAnsi="Times New Roman" w:cs="Times New Roman"/>
                <w:color w:val="000000"/>
                <w:sz w:val="24"/>
                <w:szCs w:val="24"/>
              </w:rPr>
            </w:pPr>
            <w:r>
              <w:rPr>
                <w:rFonts w:ascii="Times New Roman" w:hAnsi="Times New Roman" w:cs="Times New Roman"/>
                <w:color w:val="000000"/>
                <w:sz w:val="24"/>
                <w:szCs w:val="24"/>
              </w:rPr>
            </w:r>
            <w:r/>
          </w:p>
        </w:tc>
        <w:tc>
          <w:tcPr>
            <w:tcW w:w="2841" w:type="dxa"/>
            <w:textDirection w:val="lrTb"/>
            <w:noWrap w:val="false"/>
          </w:tcPr>
          <w:p>
            <w:pPr>
              <w:jc w:val="center"/>
              <w:spacing w:line="500" w:lineRule="exact"/>
              <w:rPr>
                <w:rFonts w:ascii="Times New Roman" w:hAnsi="Times New Roman" w:cs="Times New Roman"/>
                <w:color w:val="000000"/>
                <w:sz w:val="24"/>
                <w:szCs w:val="24"/>
              </w:rPr>
            </w:pPr>
            <w:r>
              <w:rPr>
                <w:rFonts w:ascii="Times New Roman" w:hAnsi="Times New Roman" w:cs="Times New Roman"/>
                <w:color w:val="000000"/>
                <w:sz w:val="24"/>
                <w:szCs w:val="24"/>
              </w:rPr>
              <w:t xml:space="preserve">详见投标文件</w:t>
            </w:r>
            <w:r/>
          </w:p>
        </w:tc>
        <w:tc>
          <w:tcPr>
            <w:tcW w:w="4066" w:type="dxa"/>
            <w:textDirection w:val="lrTb"/>
            <w:noWrap w:val="false"/>
          </w:tcPr>
          <w:p>
            <w:pPr>
              <w:jc w:val="center"/>
              <w:spacing w:line="500" w:lineRule="exact"/>
              <w:rPr>
                <w:rFonts w:ascii="Times New Roman" w:hAnsi="Times New Roman" w:cs="Times New Roman"/>
                <w:color w:val="000000"/>
                <w:sz w:val="24"/>
                <w:szCs w:val="24"/>
              </w:rPr>
            </w:pPr>
            <w:r>
              <w:rPr>
                <w:rFonts w:hint="eastAsia" w:ascii="Times New Roman" w:hAnsi="Times New Roman" w:cs="Times New Roman"/>
                <w:color w:val="000000"/>
                <w:sz w:val="24"/>
                <w:szCs w:val="24"/>
              </w:rPr>
              <w:t xml:space="preserve">元</w:t>
            </w:r>
            <w:r/>
          </w:p>
        </w:tc>
      </w:tr>
      <w:tr>
        <w:trPr/>
        <w:tc>
          <w:tcPr>
            <w:tcW w:w="2840" w:type="dxa"/>
            <w:textDirection w:val="lrTb"/>
            <w:noWrap w:val="false"/>
          </w:tcPr>
          <w:p>
            <w:pPr>
              <w:jc w:val="center"/>
              <w:spacing w:line="500" w:lineRule="exact"/>
              <w:rPr>
                <w:rFonts w:ascii="Times New Roman" w:hAnsi="Times New Roman" w:cs="Times New Roman"/>
                <w:color w:val="000000"/>
                <w:sz w:val="24"/>
                <w:szCs w:val="24"/>
              </w:rPr>
            </w:pPr>
            <w:r>
              <w:rPr>
                <w:rFonts w:ascii="Times New Roman" w:hAnsi="Times New Roman" w:cs="Times New Roman"/>
                <w:color w:val="000000"/>
                <w:sz w:val="24"/>
                <w:szCs w:val="24"/>
              </w:rPr>
              <w:t xml:space="preserve">总价（大写）</w:t>
            </w:r>
            <w:r/>
          </w:p>
        </w:tc>
        <w:tc>
          <w:tcPr>
            <w:gridSpan w:val="2"/>
            <w:tcW w:w="6907" w:type="dxa"/>
            <w:textDirection w:val="lrTb"/>
            <w:noWrap w:val="false"/>
          </w:tcPr>
          <w:p>
            <w:pPr>
              <w:jc w:val="center"/>
              <w:spacing w:line="500" w:lineRule="exact"/>
              <w:rPr>
                <w:rFonts w:ascii="Times New Roman" w:hAnsi="Times New Roman" w:cs="Times New Roman"/>
                <w:color w:val="000000"/>
                <w:sz w:val="24"/>
                <w:szCs w:val="24"/>
              </w:rPr>
            </w:pPr>
            <w:r>
              <w:rPr>
                <w:rFonts w:ascii="Times New Roman" w:hAnsi="Times New Roman" w:cs="Times New Roman"/>
                <w:color w:val="000000"/>
                <w:sz w:val="24"/>
                <w:szCs w:val="24"/>
              </w:rPr>
            </w:r>
            <w:r/>
          </w:p>
        </w:tc>
      </w:tr>
    </w:tbl>
    <w:p>
      <w:pPr>
        <w:spacing w:line="500" w:lineRule="exact"/>
        <w:rPr>
          <w:rFonts w:ascii="Times New Roman" w:hAnsi="Times New Roman" w:cs="Times New Roman"/>
          <w:color w:val="000000"/>
          <w:sz w:val="24"/>
          <w:szCs w:val="24"/>
        </w:rPr>
      </w:pPr>
      <w:r>
        <w:rPr>
          <w:rFonts w:ascii="Times New Roman" w:hAnsi="Times New Roman" w:cs="Times New Roman"/>
          <w:color w:val="000000"/>
          <w:sz w:val="24"/>
          <w:szCs w:val="24"/>
        </w:rPr>
        <w:t xml:space="preserve">投标人公章：</w:t>
      </w:r>
      <w:r>
        <w:rPr>
          <w:rFonts w:hint="eastAsia" w:ascii="Times New Roman" w:hAnsi="Times New Roman" w:cs="Times New Roman"/>
          <w:color w:val="000000"/>
          <w:sz w:val="24"/>
          <w:szCs w:val="24"/>
        </w:rPr>
        <w:t xml:space="preserve">（电子签章）</w:t>
      </w:r>
      <w:r/>
    </w:p>
    <w:p>
      <w:pPr>
        <w:spacing w:line="500" w:lineRule="exact"/>
        <w:rPr>
          <w:rFonts w:ascii="Times New Roman" w:hAnsi="Times New Roman" w:cs="Times New Roman"/>
          <w:color w:val="000000"/>
          <w:sz w:val="24"/>
          <w:szCs w:val="24"/>
        </w:rPr>
      </w:pPr>
      <w:r>
        <w:rPr>
          <w:rFonts w:ascii="Times New Roman" w:hAnsi="Times New Roman" w:cs="Times New Roman"/>
          <w:color w:val="000000"/>
          <w:sz w:val="24"/>
          <w:szCs w:val="24"/>
        </w:rPr>
      </w:r>
      <w:r/>
    </w:p>
    <w:p>
      <w:pPr>
        <w:spacing w:line="500" w:lineRule="exact"/>
        <w:rPr>
          <w:rFonts w:ascii="Times New Roman" w:hAnsi="Times New Roman" w:cs="Times New Roman"/>
          <w:color w:val="000000"/>
          <w:sz w:val="24"/>
          <w:szCs w:val="24"/>
        </w:rPr>
      </w:pPr>
      <w:r>
        <w:rPr>
          <w:rFonts w:ascii="Times New Roman" w:hAnsi="Times New Roman" w:cs="Times New Roman"/>
          <w:color w:val="000000"/>
          <w:sz w:val="24"/>
          <w:szCs w:val="24"/>
        </w:rPr>
      </w:r>
      <w:r/>
    </w:p>
    <w:p>
      <w:pPr>
        <w:spacing w:line="500" w:lineRule="exact"/>
        <w:rPr>
          <w:rFonts w:ascii="Times New Roman" w:hAnsi="Times New Roman" w:cs="Times New Roman"/>
          <w:color w:val="000000"/>
          <w:sz w:val="24"/>
          <w:szCs w:val="24"/>
        </w:rPr>
      </w:pPr>
      <w:r>
        <w:rPr>
          <w:rFonts w:ascii="Times New Roman" w:hAnsi="Times New Roman" w:cs="Times New Roman"/>
          <w:color w:val="000000"/>
          <w:sz w:val="24"/>
          <w:szCs w:val="24"/>
        </w:rPr>
      </w:r>
      <w:r/>
    </w:p>
    <w:p>
      <w:pPr>
        <w:spacing w:line="500" w:lineRule="exact"/>
        <w:rPr>
          <w:rFonts w:ascii="Times New Roman" w:hAnsi="Times New Roman" w:cs="Times New Roman"/>
          <w:color w:val="000000"/>
          <w:sz w:val="24"/>
          <w:szCs w:val="24"/>
        </w:rPr>
      </w:pPr>
      <w:r>
        <w:rPr>
          <w:rFonts w:ascii="Times New Roman" w:hAnsi="Times New Roman" w:cs="Times New Roman"/>
          <w:color w:val="000000"/>
          <w:sz w:val="24"/>
          <w:szCs w:val="24"/>
        </w:rPr>
      </w:r>
      <w:r/>
    </w:p>
    <w:p>
      <w:pPr>
        <w:spacing w:line="500" w:lineRule="exact"/>
        <w:rPr>
          <w:rFonts w:ascii="Times New Roman" w:hAnsi="Times New Roman" w:cs="Times New Roman"/>
          <w:color w:val="000000"/>
          <w:sz w:val="24"/>
          <w:szCs w:val="24"/>
        </w:rPr>
      </w:pPr>
      <w:r>
        <w:rPr>
          <w:rFonts w:ascii="Times New Roman" w:hAnsi="Times New Roman" w:cs="Times New Roman"/>
          <w:color w:val="000000"/>
          <w:sz w:val="24"/>
          <w:szCs w:val="24"/>
        </w:rPr>
      </w:r>
      <w:r/>
    </w:p>
    <w:p>
      <w:pPr>
        <w:spacing w:line="500" w:lineRule="exact"/>
        <w:rPr>
          <w:rFonts w:ascii="Times New Roman" w:hAnsi="Times New Roman" w:cs="Times New Roman"/>
          <w:color w:val="000000"/>
          <w:sz w:val="24"/>
          <w:szCs w:val="24"/>
        </w:rPr>
      </w:pPr>
      <w:r>
        <w:rPr>
          <w:rFonts w:ascii="Times New Roman" w:hAnsi="Times New Roman" w:cs="Times New Roman"/>
          <w:color w:val="000000"/>
          <w:sz w:val="24"/>
          <w:szCs w:val="24"/>
        </w:rPr>
      </w:r>
      <w:r/>
    </w:p>
    <w:p>
      <w:pPr>
        <w:rPr>
          <w:rFonts w:ascii="Times New Roman" w:hAnsi="Times New Roman" w:cs="Times New Roman"/>
          <w:color w:val="000000"/>
          <w:sz w:val="24"/>
          <w:szCs w:val="24"/>
        </w:rPr>
      </w:pPr>
      <w:r>
        <w:rPr>
          <w:rFonts w:ascii="Times New Roman" w:hAnsi="Times New Roman" w:cs="Times New Roman"/>
          <w:color w:val="000000"/>
          <w:sz w:val="24"/>
          <w:szCs w:val="24"/>
        </w:rPr>
        <w:br w:type="page" w:clear="all"/>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宋体" w:hAnsi="宋体" w:cs="仿宋"/>
          <w:bCs/>
          <w:color w:val="000000"/>
          <w:sz w:val="24"/>
          <w:szCs w:val="24"/>
        </w:rPr>
      </w:pPr>
      <w:r>
        <w:rPr>
          <w:rFonts w:hint="eastAsia" w:ascii="宋体" w:hAnsi="宋体" w:cs="仿宋"/>
          <w:bCs/>
          <w:color w:val="000000"/>
          <w:sz w:val="24"/>
          <w:szCs w:val="24"/>
        </w:rPr>
        <w:t xml:space="preserve">致：</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质疑供应商：</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地址：邮编：</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联系人：联系电话：</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授权代表：</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联系电话：</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地址：邮编：</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质疑项目的名称：</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质疑项目的编号：包号：</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采购人名称：</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采购文件获取日期：</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质疑事项1：</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事实依据：</w:t>
      </w:r>
      <w:r/>
    </w:p>
    <w:p>
      <w:pPr>
        <w:spacing w:line="500" w:lineRule="exact"/>
        <w:rPr>
          <w:rFonts w:ascii="宋体" w:hAnsi="宋体" w:cs="仿宋"/>
          <w:color w:val="000000"/>
          <w:sz w:val="24"/>
          <w:szCs w:val="24"/>
        </w:rPr>
      </w:pPr>
      <w:r>
        <w:rPr>
          <w:rFonts w:ascii="宋体" w:hAnsi="宋体" w:cs="仿宋"/>
          <w:color w:val="000000"/>
          <w:sz w:val="24"/>
          <w:szCs w:val="24"/>
        </w:rPr>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法律依据：</w:t>
      </w:r>
      <w:r/>
    </w:p>
    <w:p>
      <w:pPr>
        <w:spacing w:line="500" w:lineRule="exact"/>
        <w:rPr>
          <w:rFonts w:ascii="宋体" w:hAnsi="宋体" w:cs="仿宋"/>
          <w:color w:val="000000"/>
          <w:sz w:val="24"/>
          <w:szCs w:val="24"/>
          <w:u w:val="single"/>
        </w:rPr>
      </w:pPr>
      <w:r>
        <w:rPr>
          <w:rFonts w:ascii="宋体" w:hAnsi="宋体" w:cs="仿宋"/>
          <w:color w:val="000000"/>
          <w:sz w:val="24"/>
          <w:szCs w:val="24"/>
          <w:u w:val="single"/>
        </w:rPr>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请求：</w:t>
      </w:r>
      <w:r/>
    </w:p>
    <w:p>
      <w:pPr>
        <w:spacing w:line="500" w:lineRule="exact"/>
        <w:rPr>
          <w:rFonts w:ascii="宋体" w:hAnsi="宋体" w:cs="Times New Roman"/>
          <w:color w:val="000000"/>
          <w:sz w:val="24"/>
          <w:szCs w:val="24"/>
        </w:rPr>
      </w:pPr>
      <w:r>
        <w:rPr>
          <w:rFonts w:hint="eastAsia" w:ascii="宋体" w:hAnsi="宋体" w:cs="Times New Roman"/>
          <w:color w:val="000000"/>
          <w:sz w:val="24"/>
          <w:szCs w:val="24"/>
        </w:rPr>
        <w:t xml:space="preserve">签字（签章）：                   公章：                      </w:t>
      </w:r>
      <w:r/>
    </w:p>
    <w:p>
      <w:pPr>
        <w:spacing w:line="500" w:lineRule="exact"/>
        <w:rPr>
          <w:rFonts w:ascii="宋体" w:hAnsi="宋体" w:cs="Times New Roman"/>
          <w:color w:val="000000"/>
          <w:sz w:val="24"/>
          <w:szCs w:val="24"/>
        </w:rPr>
      </w:pPr>
      <w:r>
        <w:rPr>
          <w:rFonts w:hint="eastAsia" w:ascii="宋体" w:hAnsi="宋体" w:cs="Times New Roman"/>
          <w:color w:val="000000"/>
          <w:sz w:val="24"/>
          <w:szCs w:val="24"/>
        </w:rPr>
        <w:t xml:space="preserve">日期：    </w:t>
      </w:r>
      <w:r/>
    </w:p>
    <w:p>
      <w:pPr>
        <w:spacing w:line="500" w:lineRule="exact"/>
        <w:rPr>
          <w:rFonts w:ascii="宋体" w:hAnsi="宋体" w:cs="Times New Roman"/>
          <w:b/>
          <w:color w:val="000000"/>
          <w:sz w:val="24"/>
          <w:szCs w:val="24"/>
        </w:rPr>
      </w:pPr>
      <w:r>
        <w:rPr>
          <w:rFonts w:hint="eastAsia" w:ascii="宋体" w:hAnsi="宋体" w:cs="Times New Roman"/>
          <w:b/>
          <w:color w:val="000000"/>
          <w:sz w:val="24"/>
          <w:szCs w:val="24"/>
        </w:rPr>
        <w:t xml:space="preserve">质疑函制作说明：</w:t>
      </w:r>
      <w:r/>
    </w:p>
    <w:p>
      <w:pPr>
        <w:ind w:firstLine="480"/>
        <w:jc w:val="left"/>
        <w:spacing w:line="500" w:lineRule="exact"/>
        <w:widowControl/>
        <w:rPr>
          <w:rFonts w:ascii="宋体" w:hAnsi="宋体" w:cs="Times New Roman"/>
          <w:color w:val="000000"/>
          <w:sz w:val="24"/>
          <w:szCs w:val="24"/>
        </w:rPr>
      </w:pPr>
      <w:r>
        <w:rPr>
          <w:rFonts w:hint="eastAsia" w:ascii="宋体" w:hAnsi="宋体" w:cs="Times New Roman"/>
          <w:color w:val="000000"/>
          <w:sz w:val="24"/>
          <w:szCs w:val="24"/>
        </w:rPr>
        <w:t xml:space="preserve">1.供应商提出质疑时，应提交质疑函和必要的证明材料。</w:t>
      </w:r>
      <w:r/>
    </w:p>
    <w:p>
      <w:pPr>
        <w:ind w:firstLine="480"/>
        <w:jc w:val="left"/>
        <w:spacing w:line="500" w:lineRule="exact"/>
        <w:widowControl/>
        <w:rPr>
          <w:rFonts w:ascii="宋体" w:hAnsi="宋体" w:cs="Times New Roman"/>
          <w:color w:val="000000"/>
          <w:sz w:val="24"/>
          <w:szCs w:val="24"/>
        </w:rPr>
      </w:pPr>
      <w:r>
        <w:rPr>
          <w:rFonts w:hint="eastAsia" w:ascii="宋体" w:hAnsi="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cs="Times New Roman"/>
          <w:color w:val="000000"/>
          <w:sz w:val="24"/>
          <w:szCs w:val="24"/>
        </w:rPr>
      </w:pPr>
      <w:r>
        <w:rPr>
          <w:rFonts w:hint="eastAsia" w:ascii="宋体" w:hAnsi="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cs="Times New Roman"/>
          <w:color w:val="000000"/>
          <w:sz w:val="24"/>
          <w:szCs w:val="24"/>
        </w:rPr>
      </w:pPr>
      <w:r>
        <w:rPr>
          <w:rFonts w:hint="eastAsia" w:ascii="宋体" w:hAnsi="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cs="Times New Roman"/>
          <w:color w:val="000000"/>
          <w:sz w:val="24"/>
          <w:szCs w:val="24"/>
        </w:rPr>
      </w:pPr>
      <w:r>
        <w:rPr>
          <w:rFonts w:hint="eastAsia" w:ascii="宋体" w:hAnsi="宋体" w:cs="Times New Roman"/>
          <w:color w:val="000000"/>
          <w:sz w:val="24"/>
          <w:szCs w:val="24"/>
        </w:rPr>
        <w:t xml:space="preserve">5.质疑函的质疑请求应与质疑事项相关。</w:t>
      </w:r>
      <w:r/>
    </w:p>
    <w:p>
      <w:pPr>
        <w:ind w:firstLine="480"/>
        <w:jc w:val="left"/>
        <w:spacing w:line="500" w:lineRule="exact"/>
        <w:widowControl/>
        <w:rPr>
          <w:rFonts w:ascii="宋体" w:hAnsi="宋体" w:cs="Times New Roman"/>
          <w:color w:val="000000"/>
          <w:sz w:val="24"/>
          <w:szCs w:val="24"/>
        </w:rPr>
      </w:pPr>
      <w:r>
        <w:rPr>
          <w:rFonts w:hint="eastAsia" w:ascii="宋体" w:hAnsi="宋体" w:cs="Times New Roman"/>
          <w:color w:val="00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500" w:lineRule="exact"/>
        <w:widowControl/>
        <w:rPr>
          <w:color w:val="000000"/>
          <w:sz w:val="24"/>
          <w:szCs w:val="24"/>
        </w:rPr>
      </w:pPr>
      <w:r>
        <w:rPr>
          <w:rFonts w:hint="eastAsia" w:ascii="宋体" w:hAnsi="宋体" w:cs="Times New Roman"/>
          <w:color w:val="000000"/>
          <w:sz w:val="24"/>
          <w:szCs w:val="24"/>
        </w:rPr>
        <w:t xml:space="preserve">具体要求详见第二章 投标人须知 八、询问与质疑。</w:t>
      </w:r>
      <w:r/>
    </w:p>
    <w:p>
      <w:pPr>
        <w:pStyle w:val="741"/>
        <w:rPr>
          <w:color w:val="000000"/>
        </w:rPr>
      </w:pPr>
      <w:r>
        <w:rPr>
          <w:color w:val="000000"/>
        </w:rPr>
      </w:r>
      <w:r/>
    </w:p>
    <w:sectPr>
      <w:footerReference w:type="default" r:id="rId10"/>
      <w:footnotePr/>
      <w:endnotePr/>
      <w:type w:val="nextPage"/>
      <w:pgSz w:w="11906" w:h="16838" w:orient="portrait"/>
      <w:pgMar w:top="1134"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中等线简体">
    <w:panose1 w:val="020B0503020202020204"/>
  </w:font>
  <w:font w:name="MS Mincho">
    <w:panose1 w:val="02020603050405090304"/>
  </w:font>
  <w:font w:name="楷体_GB2312">
    <w:panose1 w:val="02010609060101010101"/>
  </w:font>
  <w:font w:name="Courier New">
    <w:panose1 w:val="02070309020205020404"/>
  </w:font>
  <w:font w:name="仿宋_GB2312">
    <w:panose1 w:val="02010609060101010101"/>
  </w:font>
  <w:font w:name="黑体">
    <w:panose1 w:val="02010609060101010101"/>
  </w:font>
  <w:font w:name="方正仿宋_GBK">
    <w:panose1 w:val="020B0503020202020204"/>
  </w:font>
  <w:font w:name="Cambria">
    <w:panose1 w:val="02040503050406030204"/>
  </w:font>
  <w:font w:name="Arial">
    <w:panose1 w:val="020B0604020202020204"/>
  </w:font>
  <w:font w:name="Calibri">
    <w:panose1 w:val="020F050202020403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jc w:val="center"/>
    </w:pPr>
    <w:r/>
    <w:r/>
  </w:p>
  <w:p>
    <w:pPr>
      <w:pStyle w:val="79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77825" cy="30226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377628" cy="302307"/>
                      </a:xfrm>
                      <a:prstGeom prst="rect">
                        <a:avLst/>
                      </a:prstGeom>
                      <a:noFill/>
                      <a:ln>
                        <a:noFill/>
                      </a:ln>
                      <a:effectLst/>
                    </wps:spPr>
                    <wps:txbx>
                      <w:txbxContent>
                        <w:p>
                          <w:pPr>
                            <w:pStyle w:val="796"/>
                            <w:tabs>
                              <w:tab w:val="clear" w:pos="4153" w:leader="none"/>
                              <w:tab w:val="clear" w:pos="8306" w:leader="none"/>
                            </w:tabs>
                          </w:pPr>
                          <w:r>
                            <w:fldChar w:fldCharType="begin"/>
                          </w:r>
                          <w:r>
                            <w:instrText xml:space="preserve"> PAGE  \* MERGEFORMAT </w:instrText>
                          </w:r>
                          <w:r>
                            <w:fldChar w:fldCharType="separate"/>
                          </w:r>
                          <w:r>
                            <w:t xml:space="preserve">44</w:t>
                          </w:r>
                          <w:r>
                            <w:fldChar w:fldCharType="end"/>
                          </w:r>
                          <w:r/>
                        </w:p>
                        <w:p>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29.8pt;height:23.8pt;mso-wrap-distance-left:9.0pt;mso-wrap-distance-top:0.0pt;mso-wrap-distance-right:9.0pt;mso-wrap-distance-bottom:0.0pt;visibility:visible;" filled="f" stroked="f">
              <v:textbox inset="0,0,0,0">
                <w:txbxContent>
                  <w:p>
                    <w:pPr>
                      <w:pStyle w:val="796"/>
                      <w:tabs>
                        <w:tab w:val="clear" w:pos="4153" w:leader="none"/>
                        <w:tab w:val="clear" w:pos="8306" w:leader="none"/>
                      </w:tabs>
                    </w:pPr>
                    <w:r>
                      <w:fldChar w:fldCharType="begin"/>
                    </w:r>
                    <w:r>
                      <w:instrText xml:space="preserve"> PAGE  \* MERGEFORMAT </w:instrText>
                    </w:r>
                    <w:r>
                      <w:fldChar w:fldCharType="separate"/>
                    </w:r>
                    <w:r>
                      <w:t xml:space="preserve">44</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8">
    <w:name w:val="TOC Heading"/>
    <w:uiPriority w:val="39"/>
    <w:unhideWhenUsed/>
  </w:style>
  <w:style w:type="paragraph" w:styleId="689" w:default="1">
    <w:name w:val="Normal"/>
    <w:uiPriority w:val="0"/>
    <w:qFormat/>
    <w:pPr>
      <w:jc w:val="both"/>
      <w:widowControl w:val="off"/>
    </w:pPr>
    <w:rPr>
      <w:rFonts w:ascii="Calibri" w:hAnsi="Calibri" w:eastAsia="宋体" w:cs="Arial"/>
      <w:sz w:val="21"/>
      <w:szCs w:val="22"/>
      <w:lang w:val="en-US" w:eastAsia="zh-CN" w:bidi="ar-SA"/>
    </w:rPr>
  </w:style>
  <w:style w:type="paragraph" w:styleId="690">
    <w:name w:val="Heading 1"/>
    <w:basedOn w:val="689"/>
    <w:next w:val="689"/>
    <w:link w:val="786"/>
    <w:uiPriority w:val="9"/>
    <w:qFormat/>
    <w:pPr>
      <w:keepLines/>
      <w:keepNext/>
      <w:spacing w:before="340" w:after="330" w:line="578" w:lineRule="auto"/>
      <w:outlineLvl w:val="0"/>
    </w:pPr>
    <w:rPr>
      <w:b/>
      <w:bCs/>
      <w:sz w:val="44"/>
      <w:szCs w:val="44"/>
    </w:rPr>
  </w:style>
  <w:style w:type="paragraph" w:styleId="691">
    <w:name w:val="Heading 2"/>
    <w:basedOn w:val="689"/>
    <w:next w:val="689"/>
    <w:link w:val="787"/>
    <w:uiPriority w:val="9"/>
    <w:unhideWhenUsed/>
    <w:qFormat/>
    <w:pPr>
      <w:keepLines/>
      <w:keepNext/>
      <w:spacing w:before="260" w:after="260" w:line="416" w:lineRule="auto"/>
      <w:outlineLvl w:val="1"/>
    </w:pPr>
    <w:rPr>
      <w:rFonts w:ascii="Cambria" w:hAnsi="Cambria" w:eastAsia="黑体"/>
      <w:b/>
      <w:bCs/>
      <w:sz w:val="32"/>
      <w:szCs w:val="32"/>
    </w:rPr>
  </w:style>
  <w:style w:type="paragraph" w:styleId="692">
    <w:name w:val="Heading 3"/>
    <w:basedOn w:val="689"/>
    <w:next w:val="689"/>
    <w:link w:val="788"/>
    <w:uiPriority w:val="9"/>
    <w:unhideWhenUsed/>
    <w:qFormat/>
    <w:pPr>
      <w:keepLines/>
      <w:keepNext/>
      <w:spacing w:before="260" w:after="260" w:line="416" w:lineRule="auto"/>
      <w:outlineLvl w:val="2"/>
    </w:pPr>
    <w:rPr>
      <w:b/>
      <w:bCs/>
      <w:sz w:val="32"/>
      <w:szCs w:val="32"/>
    </w:rPr>
  </w:style>
  <w:style w:type="paragraph" w:styleId="693">
    <w:name w:val="Heading 4"/>
    <w:basedOn w:val="689"/>
    <w:next w:val="689"/>
    <w:link w:val="789"/>
    <w:uiPriority w:val="9"/>
    <w:unhideWhenUsed/>
    <w:qFormat/>
    <w:pPr>
      <w:keepLines/>
      <w:keepNext/>
      <w:spacing w:before="320" w:after="200"/>
      <w:outlineLvl w:val="3"/>
    </w:pPr>
    <w:rPr>
      <w:rFonts w:ascii="Arial" w:hAnsi="Arial" w:eastAsia="Arial"/>
      <w:b/>
      <w:bCs/>
      <w:sz w:val="26"/>
      <w:szCs w:val="26"/>
    </w:rPr>
  </w:style>
  <w:style w:type="paragraph" w:styleId="694">
    <w:name w:val="Heading 5"/>
    <w:basedOn w:val="689"/>
    <w:next w:val="689"/>
    <w:link w:val="790"/>
    <w:uiPriority w:val="9"/>
    <w:unhideWhenUsed/>
    <w:qFormat/>
    <w:pPr>
      <w:keepLines/>
      <w:keepNext/>
      <w:spacing w:before="320" w:after="200"/>
      <w:outlineLvl w:val="4"/>
    </w:pPr>
    <w:rPr>
      <w:rFonts w:ascii="Arial" w:hAnsi="Arial" w:eastAsia="Arial"/>
      <w:b/>
      <w:bCs/>
      <w:sz w:val="24"/>
      <w:szCs w:val="24"/>
    </w:rPr>
  </w:style>
  <w:style w:type="paragraph" w:styleId="695">
    <w:name w:val="Heading 6"/>
    <w:basedOn w:val="689"/>
    <w:next w:val="689"/>
    <w:link w:val="791"/>
    <w:uiPriority w:val="9"/>
    <w:unhideWhenUsed/>
    <w:qFormat/>
    <w:pPr>
      <w:keepLines/>
      <w:keepNext/>
      <w:spacing w:before="320" w:after="200"/>
      <w:outlineLvl w:val="5"/>
    </w:pPr>
    <w:rPr>
      <w:rFonts w:ascii="Arial" w:hAnsi="Arial" w:eastAsia="Arial"/>
      <w:b/>
      <w:bCs/>
      <w:sz w:val="22"/>
    </w:rPr>
  </w:style>
  <w:style w:type="paragraph" w:styleId="696">
    <w:name w:val="Heading 7"/>
    <w:basedOn w:val="689"/>
    <w:next w:val="689"/>
    <w:link w:val="792"/>
    <w:uiPriority w:val="9"/>
    <w:unhideWhenUsed/>
    <w:qFormat/>
    <w:pPr>
      <w:keepLines/>
      <w:keepNext/>
      <w:spacing w:before="320" w:after="200"/>
      <w:outlineLvl w:val="6"/>
    </w:pPr>
    <w:rPr>
      <w:rFonts w:ascii="Arial" w:hAnsi="Arial" w:eastAsia="Arial"/>
      <w:b/>
      <w:bCs/>
      <w:i/>
      <w:iCs/>
      <w:sz w:val="22"/>
    </w:rPr>
  </w:style>
  <w:style w:type="paragraph" w:styleId="697">
    <w:name w:val="Heading 8"/>
    <w:basedOn w:val="689"/>
    <w:next w:val="689"/>
    <w:link w:val="793"/>
    <w:uiPriority w:val="9"/>
    <w:unhideWhenUsed/>
    <w:qFormat/>
    <w:pPr>
      <w:keepLines/>
      <w:keepNext/>
      <w:spacing w:before="320" w:after="200"/>
      <w:outlineLvl w:val="7"/>
    </w:pPr>
    <w:rPr>
      <w:rFonts w:ascii="Arial" w:hAnsi="Arial" w:eastAsia="Arial"/>
      <w:i/>
      <w:iCs/>
      <w:sz w:val="22"/>
    </w:rPr>
  </w:style>
  <w:style w:type="paragraph" w:styleId="698">
    <w:name w:val="Heading 9"/>
    <w:basedOn w:val="689"/>
    <w:next w:val="689"/>
    <w:link w:val="794"/>
    <w:uiPriority w:val="9"/>
    <w:unhideWhenUsed/>
    <w:qFormat/>
    <w:pPr>
      <w:keepLines/>
      <w:keepNext/>
      <w:spacing w:before="320" w:after="200"/>
      <w:outlineLvl w:val="8"/>
    </w:pPr>
    <w:rPr>
      <w:rFonts w:ascii="Arial" w:hAnsi="Arial" w:eastAsia="Arial"/>
      <w:i/>
      <w:iCs/>
      <w:szCs w:val="21"/>
    </w:rPr>
  </w:style>
  <w:style w:type="character" w:styleId="699" w:default="1">
    <w:name w:val="Default Paragraph Font"/>
    <w:uiPriority w:val="1"/>
    <w:unhideWhenUsed/>
    <w:qFormat/>
  </w:style>
  <w:style w:type="table" w:styleId="700" w:default="1">
    <w:name w:val="Normal Table"/>
    <w:uiPriority w:val="99"/>
    <w:semiHidden/>
    <w:unhideWhenUsed/>
    <w:qFormat/>
    <w:tblPr>
      <w:tblCellMar>
        <w:left w:w="108" w:type="dxa"/>
        <w:top w:w="0" w:type="dxa"/>
        <w:right w:w="108" w:type="dxa"/>
        <w:bottom w:w="0" w:type="dxa"/>
      </w:tblCellMar>
    </w:tblPr>
  </w:style>
  <w:style w:type="paragraph" w:styleId="701">
    <w:name w:val="toc 7"/>
    <w:basedOn w:val="689"/>
    <w:next w:val="689"/>
    <w:uiPriority w:val="39"/>
    <w:unhideWhenUsed/>
    <w:qFormat/>
    <w:pPr>
      <w:ind w:left="1701"/>
      <w:spacing w:after="57"/>
    </w:pPr>
  </w:style>
  <w:style w:type="paragraph" w:styleId="702">
    <w:name w:val="Caption"/>
    <w:basedOn w:val="689"/>
    <w:next w:val="68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3">
    <w:name w:val="annotation text"/>
    <w:basedOn w:val="689"/>
    <w:link w:val="971"/>
    <w:uiPriority w:val="99"/>
    <w:semiHidden/>
    <w:unhideWhenUsed/>
    <w:qFormat/>
    <w:pPr>
      <w:jc w:val="left"/>
    </w:pPr>
  </w:style>
  <w:style w:type="paragraph" w:styleId="704">
    <w:name w:val="Body Text Indent"/>
    <w:basedOn w:val="689"/>
    <w:uiPriority w:val="99"/>
    <w:semiHidden/>
    <w:unhideWhenUsed/>
    <w:qFormat/>
    <w:pPr>
      <w:ind w:left="420"/>
      <w:spacing w:after="120"/>
    </w:pPr>
  </w:style>
  <w:style w:type="paragraph" w:styleId="705">
    <w:name w:val="toc 5"/>
    <w:basedOn w:val="689"/>
    <w:next w:val="689"/>
    <w:uiPriority w:val="39"/>
    <w:unhideWhenUsed/>
    <w:qFormat/>
    <w:pPr>
      <w:ind w:left="1134"/>
      <w:spacing w:after="57"/>
    </w:pPr>
  </w:style>
  <w:style w:type="paragraph" w:styleId="706">
    <w:name w:val="toc 3"/>
    <w:basedOn w:val="689"/>
    <w:next w:val="689"/>
    <w:uiPriority w:val="39"/>
    <w:unhideWhenUsed/>
    <w:qFormat/>
    <w:pPr>
      <w:ind w:left="567"/>
      <w:spacing w:after="57"/>
    </w:pPr>
  </w:style>
  <w:style w:type="paragraph" w:styleId="707">
    <w:name w:val="Plain Text"/>
    <w:basedOn w:val="689"/>
    <w:uiPriority w:val="0"/>
    <w:qFormat/>
    <w:rPr>
      <w:rFonts w:ascii="宋体" w:hAnsi="Courier New"/>
      <w:szCs w:val="20"/>
    </w:rPr>
  </w:style>
  <w:style w:type="paragraph" w:styleId="708">
    <w:name w:val="toc 8"/>
    <w:basedOn w:val="689"/>
    <w:next w:val="689"/>
    <w:uiPriority w:val="39"/>
    <w:unhideWhenUsed/>
    <w:qFormat/>
    <w:pPr>
      <w:ind w:left="1984"/>
      <w:spacing w:after="57"/>
    </w:pPr>
  </w:style>
  <w:style w:type="paragraph" w:styleId="709">
    <w:name w:val="endnote text"/>
    <w:basedOn w:val="689"/>
    <w:uiPriority w:val="99"/>
    <w:semiHidden/>
    <w:unhideWhenUsed/>
    <w:qFormat/>
    <w:rPr>
      <w:sz w:val="20"/>
    </w:rPr>
  </w:style>
  <w:style w:type="paragraph" w:styleId="710">
    <w:name w:val="Balloon Text"/>
    <w:basedOn w:val="689"/>
    <w:link w:val="970"/>
    <w:uiPriority w:val="99"/>
    <w:semiHidden/>
    <w:unhideWhenUsed/>
    <w:qFormat/>
    <w:rPr>
      <w:sz w:val="18"/>
      <w:szCs w:val="18"/>
    </w:rPr>
  </w:style>
  <w:style w:type="paragraph" w:styleId="711">
    <w:name w:val="Footer"/>
    <w:basedOn w:val="689"/>
    <w:uiPriority w:val="99"/>
    <w:unhideWhenUsed/>
    <w:qFormat/>
    <w:pPr>
      <w:tabs>
        <w:tab w:val="center" w:pos="7143" w:leader="none"/>
        <w:tab w:val="right" w:pos="14287" w:leader="none"/>
      </w:tabs>
    </w:pPr>
  </w:style>
  <w:style w:type="paragraph" w:styleId="712">
    <w:name w:val="Header"/>
    <w:basedOn w:val="689"/>
    <w:uiPriority w:val="99"/>
    <w:unhideWhenUsed/>
    <w:qFormat/>
    <w:pPr>
      <w:tabs>
        <w:tab w:val="center" w:pos="7143" w:leader="none"/>
        <w:tab w:val="right" w:pos="14287" w:leader="none"/>
      </w:tabs>
    </w:pPr>
  </w:style>
  <w:style w:type="paragraph" w:styleId="713">
    <w:name w:val="toc 1"/>
    <w:basedOn w:val="689"/>
    <w:next w:val="689"/>
    <w:uiPriority w:val="39"/>
    <w:unhideWhenUsed/>
    <w:qFormat/>
    <w:pPr>
      <w:spacing w:after="57"/>
    </w:pPr>
  </w:style>
  <w:style w:type="paragraph" w:styleId="714">
    <w:name w:val="toc 4"/>
    <w:basedOn w:val="689"/>
    <w:next w:val="689"/>
    <w:uiPriority w:val="39"/>
    <w:unhideWhenUsed/>
    <w:qFormat/>
    <w:pPr>
      <w:ind w:left="850"/>
      <w:spacing w:after="57"/>
    </w:pPr>
  </w:style>
  <w:style w:type="paragraph" w:styleId="715">
    <w:name w:val="Subtitle"/>
    <w:basedOn w:val="689"/>
    <w:next w:val="689"/>
    <w:uiPriority w:val="11"/>
    <w:qFormat/>
    <w:pPr>
      <w:spacing w:before="200" w:after="200"/>
    </w:pPr>
    <w:rPr>
      <w:sz w:val="24"/>
      <w:szCs w:val="24"/>
    </w:rPr>
  </w:style>
  <w:style w:type="paragraph" w:styleId="716">
    <w:name w:val="footnote text"/>
    <w:basedOn w:val="689"/>
    <w:uiPriority w:val="99"/>
    <w:semiHidden/>
    <w:unhideWhenUsed/>
    <w:qFormat/>
    <w:pPr>
      <w:spacing w:after="40"/>
    </w:pPr>
    <w:rPr>
      <w:sz w:val="18"/>
    </w:rPr>
  </w:style>
  <w:style w:type="paragraph" w:styleId="717">
    <w:name w:val="toc 6"/>
    <w:basedOn w:val="689"/>
    <w:next w:val="689"/>
    <w:uiPriority w:val="39"/>
    <w:unhideWhenUsed/>
    <w:qFormat/>
    <w:pPr>
      <w:ind w:left="1417"/>
      <w:spacing w:after="57"/>
    </w:pPr>
  </w:style>
  <w:style w:type="paragraph" w:styleId="718">
    <w:name w:val="table of figures"/>
    <w:basedOn w:val="689"/>
    <w:next w:val="689"/>
    <w:uiPriority w:val="99"/>
    <w:unhideWhenUsed/>
    <w:qFormat/>
  </w:style>
  <w:style w:type="paragraph" w:styleId="719">
    <w:name w:val="toc 2"/>
    <w:basedOn w:val="689"/>
    <w:next w:val="689"/>
    <w:uiPriority w:val="39"/>
    <w:unhideWhenUsed/>
    <w:qFormat/>
    <w:pPr>
      <w:ind w:left="283"/>
      <w:spacing w:after="57"/>
    </w:pPr>
  </w:style>
  <w:style w:type="paragraph" w:styleId="720">
    <w:name w:val="toc 9"/>
    <w:basedOn w:val="689"/>
    <w:next w:val="689"/>
    <w:uiPriority w:val="39"/>
    <w:unhideWhenUsed/>
    <w:qFormat/>
    <w:pPr>
      <w:ind w:left="2268"/>
      <w:spacing w:after="57"/>
    </w:pPr>
  </w:style>
  <w:style w:type="paragraph" w:styleId="721">
    <w:name w:val="Normal (Web)"/>
    <w:basedOn w:val="689"/>
    <w:uiPriority w:val="99"/>
    <w:semiHidden/>
    <w:unhideWhenUsed/>
    <w:qFormat/>
    <w:pPr>
      <w:ind w:left="0" w:right="0"/>
      <w:jc w:val="left"/>
      <w:spacing w:before="0" w:beforeAutospacing="1" w:after="0" w:afterAutospacing="1"/>
    </w:pPr>
    <w:rPr>
      <w:sz w:val="24"/>
      <w:lang w:val="en-US" w:eastAsia="zh-CN" w:bidi="ar"/>
    </w:rPr>
  </w:style>
  <w:style w:type="paragraph" w:styleId="722">
    <w:name w:val="Title"/>
    <w:basedOn w:val="689"/>
    <w:next w:val="689"/>
    <w:uiPriority w:val="10"/>
    <w:qFormat/>
    <w:pPr>
      <w:contextualSpacing/>
      <w:spacing w:before="300" w:after="200"/>
    </w:pPr>
    <w:rPr>
      <w:sz w:val="48"/>
      <w:szCs w:val="48"/>
    </w:rPr>
  </w:style>
  <w:style w:type="paragraph" w:styleId="723">
    <w:name w:val="annotation subject"/>
    <w:basedOn w:val="703"/>
    <w:next w:val="703"/>
    <w:link w:val="972"/>
    <w:uiPriority w:val="99"/>
    <w:semiHidden/>
    <w:unhideWhenUsed/>
    <w:qFormat/>
    <w:rPr>
      <w:b/>
      <w:bCs/>
    </w:rPr>
  </w:style>
  <w:style w:type="paragraph" w:styleId="724">
    <w:name w:val="Body Text First Indent 2"/>
    <w:basedOn w:val="704"/>
    <w:uiPriority w:val="99"/>
    <w:semiHidden/>
    <w:unhideWhenUsed/>
    <w:qFormat/>
    <w:pPr>
      <w:ind w:firstLine="420"/>
    </w:pPr>
  </w:style>
  <w:style w:type="table" w:styleId="72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6">
    <w:name w:val="endnote reference"/>
    <w:uiPriority w:val="99"/>
    <w:semiHidden/>
    <w:unhideWhenUsed/>
    <w:qFormat/>
    <w:rPr>
      <w:vertAlign w:val="superscript"/>
    </w:rPr>
  </w:style>
  <w:style w:type="character" w:styleId="727">
    <w:name w:val="Hyperlink"/>
    <w:uiPriority w:val="99"/>
    <w:unhideWhenUsed/>
    <w:qFormat/>
    <w:rPr>
      <w:color w:val="0000ff" w:themeColor="hyperlink"/>
      <w:u w:val="single"/>
      <w14:textFill>
        <w14:solidFill>
          <w14:schemeClr w14:val="hlink"/>
        </w14:solidFill>
      </w14:textFill>
    </w:rPr>
  </w:style>
  <w:style w:type="character" w:styleId="728">
    <w:name w:val="annotation reference"/>
    <w:basedOn w:val="699"/>
    <w:uiPriority w:val="99"/>
    <w:semiHidden/>
    <w:unhideWhenUsed/>
    <w:qFormat/>
    <w:rPr>
      <w:sz w:val="21"/>
      <w:szCs w:val="21"/>
    </w:rPr>
  </w:style>
  <w:style w:type="character" w:styleId="729">
    <w:name w:val="footnote reference"/>
    <w:uiPriority w:val="99"/>
    <w:unhideWhenUsed/>
    <w:qFormat/>
    <w:rPr>
      <w:vertAlign w:val="superscript"/>
    </w:rPr>
  </w:style>
  <w:style w:type="character" w:styleId="730" w:customStyle="1">
    <w:name w:val="默认段落字体1"/>
    <w:uiPriority w:val="1"/>
    <w:unhideWhenUsed/>
    <w:qFormat/>
  </w:style>
  <w:style w:type="table" w:styleId="731" w:customStyle="1">
    <w:name w:val="普通表格1"/>
    <w:uiPriority w:val="99"/>
    <w:unhideWhenUsed/>
    <w:qFormat/>
    <w:tblPr>
      <w:tblCellMar>
        <w:left w:w="0" w:type="dxa"/>
        <w:top w:w="0" w:type="dxa"/>
        <w:right w:w="0" w:type="dxa"/>
        <w:bottom w:w="0" w:type="dxa"/>
      </w:tblCellMar>
    </w:tblPr>
  </w:style>
  <w:style w:type="paragraph" w:styleId="732" w:customStyle="1">
    <w:name w:val="目录 71"/>
    <w:basedOn w:val="689"/>
    <w:next w:val="689"/>
    <w:uiPriority w:val="39"/>
    <w:unhideWhenUsed/>
    <w:qFormat/>
    <w:pPr>
      <w:ind w:left="1701"/>
      <w:spacing w:after="57"/>
    </w:pPr>
  </w:style>
  <w:style w:type="paragraph" w:styleId="733" w:customStyle="1">
    <w:name w:val="文档结构图1"/>
    <w:basedOn w:val="689"/>
    <w:link w:val="734"/>
    <w:uiPriority w:val="99"/>
    <w:unhideWhenUsed/>
    <w:qFormat/>
    <w:rPr>
      <w:rFonts w:ascii="宋体"/>
      <w:sz w:val="18"/>
      <w:szCs w:val="18"/>
    </w:rPr>
  </w:style>
  <w:style w:type="character" w:styleId="734" w:customStyle="1">
    <w:name w:val="文档结构图 Char"/>
    <w:basedOn w:val="730"/>
    <w:link w:val="733"/>
    <w:uiPriority w:val="99"/>
    <w:semiHidden/>
    <w:qFormat/>
    <w:rPr>
      <w:rFonts w:ascii="宋体" w:eastAsia="宋体"/>
      <w:sz w:val="18"/>
      <w:szCs w:val="18"/>
    </w:rPr>
  </w:style>
  <w:style w:type="paragraph" w:styleId="735" w:customStyle="1">
    <w:name w:val="批注文字1"/>
    <w:basedOn w:val="689"/>
    <w:link w:val="736"/>
    <w:uiPriority w:val="0"/>
    <w:qFormat/>
    <w:pPr>
      <w:ind w:firstLine="922"/>
      <w:jc w:val="left"/>
      <w:spacing w:line="360" w:lineRule="auto"/>
    </w:pPr>
    <w:rPr>
      <w:rFonts w:ascii="Times New Roman" w:hAnsi="Times New Roman" w:cs="Times New Roman"/>
      <w:szCs w:val="24"/>
    </w:rPr>
  </w:style>
  <w:style w:type="character" w:styleId="736" w:customStyle="1">
    <w:name w:val="批注文字 Char"/>
    <w:basedOn w:val="730"/>
    <w:link w:val="735"/>
    <w:uiPriority w:val="0"/>
    <w:qFormat/>
    <w:rPr>
      <w:rFonts w:ascii="Times New Roman" w:hAnsi="Times New Roman" w:eastAsia="宋体" w:cs="Times New Roman"/>
      <w:szCs w:val="24"/>
    </w:rPr>
  </w:style>
  <w:style w:type="paragraph" w:styleId="737" w:customStyle="1">
    <w:name w:val="正文文本1"/>
    <w:basedOn w:val="689"/>
    <w:next w:val="689"/>
    <w:link w:val="738"/>
    <w:uiPriority w:val="0"/>
    <w:qFormat/>
    <w:rPr>
      <w:rFonts w:eastAsia="楷体_GB2312"/>
      <w:b/>
      <w:bCs/>
      <w:color w:val="ff0000"/>
      <w:sz w:val="32"/>
      <w:szCs w:val="32"/>
      <w:lang w:val="zh-CN"/>
    </w:rPr>
  </w:style>
  <w:style w:type="character" w:styleId="738" w:customStyle="1">
    <w:name w:val="正文文本 Char"/>
    <w:basedOn w:val="730"/>
    <w:link w:val="737"/>
    <w:uiPriority w:val="0"/>
    <w:qFormat/>
    <w:rPr>
      <w:rFonts w:eastAsia="楷体_GB2312"/>
      <w:b/>
      <w:bCs/>
      <w:color w:val="ff0000"/>
      <w:sz w:val="32"/>
      <w:szCs w:val="32"/>
      <w:lang w:val="zh-CN"/>
    </w:rPr>
  </w:style>
  <w:style w:type="paragraph" w:styleId="739" w:customStyle="1">
    <w:name w:val="目录 51"/>
    <w:basedOn w:val="689"/>
    <w:next w:val="689"/>
    <w:uiPriority w:val="39"/>
    <w:unhideWhenUsed/>
    <w:qFormat/>
    <w:pPr>
      <w:ind w:left="1134"/>
      <w:spacing w:after="57"/>
    </w:pPr>
  </w:style>
  <w:style w:type="paragraph" w:styleId="740" w:customStyle="1">
    <w:name w:val="目录 31"/>
    <w:basedOn w:val="689"/>
    <w:next w:val="689"/>
    <w:uiPriority w:val="39"/>
    <w:unhideWhenUsed/>
    <w:qFormat/>
    <w:pPr>
      <w:ind w:left="567"/>
      <w:spacing w:after="57"/>
    </w:pPr>
  </w:style>
  <w:style w:type="paragraph" w:styleId="741" w:customStyle="1">
    <w:name w:val="纯文本1"/>
    <w:basedOn w:val="689"/>
    <w:link w:val="742"/>
    <w:uiPriority w:val="0"/>
    <w:qFormat/>
    <w:rPr>
      <w:rFonts w:ascii="宋体" w:hAnsi="Courier New" w:cs="Times New Roman"/>
      <w:szCs w:val="20"/>
    </w:rPr>
  </w:style>
  <w:style w:type="character" w:styleId="742" w:customStyle="1">
    <w:name w:val="纯文本 Char"/>
    <w:basedOn w:val="730"/>
    <w:link w:val="741"/>
    <w:uiPriority w:val="0"/>
    <w:qFormat/>
    <w:rPr>
      <w:rFonts w:ascii="宋体" w:hAnsi="Courier New" w:eastAsia="宋体" w:cs="Times New Roman"/>
      <w:szCs w:val="20"/>
    </w:rPr>
  </w:style>
  <w:style w:type="paragraph" w:styleId="743" w:customStyle="1">
    <w:name w:val="目录 81"/>
    <w:basedOn w:val="689"/>
    <w:next w:val="689"/>
    <w:uiPriority w:val="39"/>
    <w:unhideWhenUsed/>
    <w:qFormat/>
    <w:pPr>
      <w:ind w:left="1984"/>
      <w:spacing w:after="57"/>
    </w:pPr>
  </w:style>
  <w:style w:type="paragraph" w:styleId="744" w:customStyle="1">
    <w:name w:val="日期1"/>
    <w:basedOn w:val="689"/>
    <w:next w:val="689"/>
    <w:link w:val="745"/>
    <w:uiPriority w:val="99"/>
    <w:unhideWhenUsed/>
    <w:qFormat/>
    <w:pPr>
      <w:ind w:left="100"/>
    </w:pPr>
  </w:style>
  <w:style w:type="character" w:styleId="745" w:customStyle="1">
    <w:name w:val="日期 Char"/>
    <w:basedOn w:val="730"/>
    <w:link w:val="744"/>
    <w:uiPriority w:val="99"/>
    <w:semiHidden/>
    <w:qFormat/>
  </w:style>
  <w:style w:type="paragraph" w:styleId="746" w:customStyle="1">
    <w:name w:val="尾注文本1"/>
    <w:basedOn w:val="689"/>
    <w:link w:val="747"/>
    <w:uiPriority w:val="99"/>
    <w:unhideWhenUsed/>
    <w:qFormat/>
    <w:rPr>
      <w:sz w:val="20"/>
    </w:rPr>
  </w:style>
  <w:style w:type="character" w:styleId="747" w:customStyle="1">
    <w:name w:val="尾注文本 Char"/>
    <w:link w:val="746"/>
    <w:uiPriority w:val="99"/>
    <w:qFormat/>
    <w:rPr>
      <w:sz w:val="20"/>
    </w:rPr>
  </w:style>
  <w:style w:type="paragraph" w:styleId="748" w:customStyle="1">
    <w:name w:val="批注框文本1"/>
    <w:basedOn w:val="689"/>
    <w:link w:val="749"/>
    <w:uiPriority w:val="99"/>
    <w:unhideWhenUsed/>
    <w:qFormat/>
    <w:rPr>
      <w:sz w:val="18"/>
      <w:szCs w:val="18"/>
    </w:rPr>
  </w:style>
  <w:style w:type="character" w:styleId="749" w:customStyle="1">
    <w:name w:val="批注框文本 Char"/>
    <w:basedOn w:val="730"/>
    <w:link w:val="748"/>
    <w:uiPriority w:val="99"/>
    <w:semiHidden/>
    <w:qFormat/>
    <w:rPr>
      <w:sz w:val="18"/>
      <w:szCs w:val="18"/>
    </w:rPr>
  </w:style>
  <w:style w:type="paragraph" w:styleId="750" w:customStyle="1">
    <w:name w:val="目录 11"/>
    <w:basedOn w:val="689"/>
    <w:next w:val="689"/>
    <w:uiPriority w:val="39"/>
    <w:unhideWhenUsed/>
    <w:qFormat/>
    <w:pPr>
      <w:jc w:val="center"/>
      <w:spacing w:line="360" w:lineRule="auto"/>
      <w:tabs>
        <w:tab w:val="right" w:pos="9628" w:leader="dot"/>
      </w:tabs>
    </w:pPr>
    <w:rPr>
      <w:sz w:val="32"/>
    </w:rPr>
  </w:style>
  <w:style w:type="paragraph" w:styleId="751" w:customStyle="1">
    <w:name w:val="目录 41"/>
    <w:basedOn w:val="689"/>
    <w:next w:val="689"/>
    <w:uiPriority w:val="39"/>
    <w:unhideWhenUsed/>
    <w:qFormat/>
    <w:pPr>
      <w:ind w:left="850"/>
      <w:spacing w:after="57"/>
    </w:pPr>
  </w:style>
  <w:style w:type="paragraph" w:styleId="752" w:customStyle="1">
    <w:name w:val="副标题1"/>
    <w:basedOn w:val="689"/>
    <w:next w:val="689"/>
    <w:link w:val="753"/>
    <w:uiPriority w:val="11"/>
    <w:qFormat/>
    <w:pPr>
      <w:spacing w:before="200" w:after="200"/>
    </w:pPr>
    <w:rPr>
      <w:sz w:val="24"/>
      <w:szCs w:val="24"/>
    </w:rPr>
  </w:style>
  <w:style w:type="character" w:styleId="753" w:customStyle="1">
    <w:name w:val="副标题 Char"/>
    <w:basedOn w:val="730"/>
    <w:link w:val="752"/>
    <w:uiPriority w:val="11"/>
    <w:qFormat/>
    <w:rPr>
      <w:sz w:val="24"/>
      <w:szCs w:val="24"/>
    </w:rPr>
  </w:style>
  <w:style w:type="paragraph" w:styleId="754" w:customStyle="1">
    <w:name w:val="脚注文本1"/>
    <w:basedOn w:val="689"/>
    <w:link w:val="755"/>
    <w:uiPriority w:val="99"/>
    <w:unhideWhenUsed/>
    <w:qFormat/>
    <w:pPr>
      <w:spacing w:after="40"/>
    </w:pPr>
    <w:rPr>
      <w:sz w:val="18"/>
    </w:rPr>
  </w:style>
  <w:style w:type="character" w:styleId="755" w:customStyle="1">
    <w:name w:val="脚注文本 Char"/>
    <w:link w:val="754"/>
    <w:uiPriority w:val="99"/>
    <w:qFormat/>
    <w:rPr>
      <w:sz w:val="18"/>
    </w:rPr>
  </w:style>
  <w:style w:type="paragraph" w:styleId="756" w:customStyle="1">
    <w:name w:val="目录 61"/>
    <w:basedOn w:val="689"/>
    <w:next w:val="689"/>
    <w:uiPriority w:val="39"/>
    <w:unhideWhenUsed/>
    <w:qFormat/>
    <w:pPr>
      <w:ind w:left="1417"/>
      <w:spacing w:after="57"/>
    </w:pPr>
  </w:style>
  <w:style w:type="paragraph" w:styleId="757" w:customStyle="1">
    <w:name w:val="图表目录1"/>
    <w:basedOn w:val="689"/>
    <w:next w:val="689"/>
    <w:uiPriority w:val="99"/>
    <w:unhideWhenUsed/>
    <w:qFormat/>
  </w:style>
  <w:style w:type="paragraph" w:styleId="758" w:customStyle="1">
    <w:name w:val="目录 21"/>
    <w:basedOn w:val="689"/>
    <w:next w:val="689"/>
    <w:uiPriority w:val="39"/>
    <w:unhideWhenUsed/>
    <w:qFormat/>
    <w:pPr>
      <w:ind w:left="283"/>
      <w:spacing w:after="57"/>
    </w:pPr>
  </w:style>
  <w:style w:type="paragraph" w:styleId="759" w:customStyle="1">
    <w:name w:val="目录 91"/>
    <w:basedOn w:val="689"/>
    <w:next w:val="689"/>
    <w:uiPriority w:val="39"/>
    <w:unhideWhenUsed/>
    <w:qFormat/>
    <w:pPr>
      <w:ind w:left="2268"/>
      <w:spacing w:after="57"/>
    </w:pPr>
  </w:style>
  <w:style w:type="paragraph" w:styleId="760" w:customStyle="1">
    <w:name w:val="HTML 预设格式1"/>
    <w:basedOn w:val="68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rPr>
  </w:style>
  <w:style w:type="paragraph" w:styleId="761" w:customStyle="1">
    <w:name w:val="普通(网站)1"/>
    <w:basedOn w:val="689"/>
    <w:uiPriority w:val="99"/>
    <w:unhideWhenUsed/>
    <w:qFormat/>
    <w:pPr>
      <w:jc w:val="left"/>
      <w:spacing w:before="100" w:beforeAutospacing="1" w:after="100" w:afterAutospacing="1"/>
      <w:widowControl/>
    </w:pPr>
    <w:rPr>
      <w:rFonts w:ascii="宋体" w:hAnsi="宋体" w:cs="宋体"/>
      <w:sz w:val="24"/>
      <w:szCs w:val="24"/>
    </w:rPr>
  </w:style>
  <w:style w:type="paragraph" w:styleId="762" w:customStyle="1">
    <w:name w:val="标题1"/>
    <w:basedOn w:val="689"/>
    <w:next w:val="689"/>
    <w:link w:val="763"/>
    <w:uiPriority w:val="10"/>
    <w:qFormat/>
    <w:pPr>
      <w:contextualSpacing/>
      <w:spacing w:before="300" w:after="200"/>
    </w:pPr>
    <w:rPr>
      <w:sz w:val="48"/>
      <w:szCs w:val="48"/>
    </w:rPr>
  </w:style>
  <w:style w:type="character" w:styleId="763" w:customStyle="1">
    <w:name w:val="标题 Char"/>
    <w:basedOn w:val="730"/>
    <w:link w:val="762"/>
    <w:uiPriority w:val="10"/>
    <w:qFormat/>
    <w:rPr>
      <w:sz w:val="48"/>
      <w:szCs w:val="48"/>
    </w:rPr>
  </w:style>
  <w:style w:type="paragraph" w:styleId="764" w:customStyle="1">
    <w:name w:val="批注主题1"/>
    <w:basedOn w:val="735"/>
    <w:next w:val="735"/>
    <w:link w:val="765"/>
    <w:uiPriority w:val="99"/>
    <w:unhideWhenUsed/>
    <w:qFormat/>
    <w:pPr>
      <w:ind w:firstLine="0"/>
      <w:spacing w:line="240" w:lineRule="auto"/>
    </w:pPr>
    <w:rPr>
      <w:rFonts w:ascii="Calibri" w:hAnsi="Calibri" w:cs="Arial"/>
      <w:b/>
      <w:bCs/>
      <w:szCs w:val="22"/>
    </w:rPr>
  </w:style>
  <w:style w:type="character" w:styleId="765" w:customStyle="1">
    <w:name w:val="批注主题 Char"/>
    <w:basedOn w:val="736"/>
    <w:link w:val="764"/>
    <w:uiPriority w:val="99"/>
    <w:semiHidden/>
    <w:qFormat/>
    <w:rPr>
      <w:rFonts w:ascii="Times New Roman" w:hAnsi="Times New Roman" w:eastAsia="宋体" w:cs="Times New Roman"/>
      <w:b/>
      <w:bCs/>
      <w:szCs w:val="24"/>
    </w:rPr>
  </w:style>
  <w:style w:type="paragraph" w:styleId="766" w:customStyle="1">
    <w:name w:val="正文首行缩进1"/>
    <w:basedOn w:val="737"/>
    <w:next w:val="689"/>
    <w:uiPriority w:val="99"/>
    <w:qFormat/>
    <w:pPr>
      <w:ind w:firstLine="420"/>
      <w:tabs>
        <w:tab w:val="left" w:pos="567" w:leader="none"/>
      </w:tabs>
    </w:pPr>
  </w:style>
  <w:style w:type="table" w:styleId="767" w:customStyle="1">
    <w:name w:val="网格型11"/>
    <w:basedOn w:val="731"/>
    <w:uiPriority w:val="59"/>
    <w:qFormat/>
    <w:tblPr>
      <w:tblCellMar>
        <w:left w:w="0" w:type="dxa"/>
        <w:top w:w="0" w:type="dxa"/>
        <w:right w:w="0" w:type="dxa"/>
        <w:bottom w:w="0" w:type="dxa"/>
      </w:tblCellMar>
    </w:tblPr>
  </w:style>
  <w:style w:type="character" w:styleId="768" w:customStyle="1">
    <w:name w:val="尾注引用1"/>
    <w:basedOn w:val="730"/>
    <w:uiPriority w:val="99"/>
    <w:unhideWhenUsed/>
    <w:qFormat/>
    <w:rPr>
      <w:vertAlign w:val="superscript"/>
    </w:rPr>
  </w:style>
  <w:style w:type="character" w:styleId="769" w:customStyle="1">
    <w:name w:val="已访问的超链接1"/>
    <w:basedOn w:val="730"/>
    <w:uiPriority w:val="99"/>
    <w:unhideWhenUsed/>
    <w:qFormat/>
    <w:rPr>
      <w:color w:val="800080"/>
      <w:u w:val="single"/>
    </w:rPr>
  </w:style>
  <w:style w:type="character" w:styleId="770" w:customStyle="1">
    <w:name w:val="超链接1"/>
    <w:uiPriority w:val="99"/>
    <w:qFormat/>
    <w:rPr>
      <w:color w:val="0000ff"/>
      <w:u w:val="none"/>
    </w:rPr>
  </w:style>
  <w:style w:type="character" w:styleId="771" w:customStyle="1">
    <w:name w:val="批注引用1"/>
    <w:uiPriority w:val="0"/>
    <w:qFormat/>
    <w:rPr>
      <w:sz w:val="21"/>
      <w:szCs w:val="21"/>
    </w:rPr>
  </w:style>
  <w:style w:type="character" w:styleId="772" w:customStyle="1">
    <w:name w:val="脚注引用1"/>
    <w:basedOn w:val="730"/>
    <w:uiPriority w:val="99"/>
    <w:unhideWhenUsed/>
    <w:qFormat/>
    <w:rPr>
      <w:vertAlign w:val="superscript"/>
    </w:rPr>
  </w:style>
  <w:style w:type="character" w:styleId="773" w:customStyle="1">
    <w:name w:val="Heading 4 Char"/>
    <w:basedOn w:val="730"/>
    <w:uiPriority w:val="9"/>
    <w:qFormat/>
    <w:rPr>
      <w:rFonts w:ascii="Arial" w:hAnsi="Arial" w:eastAsia="Arial" w:cs="Arial"/>
      <w:b/>
      <w:bCs/>
      <w:sz w:val="26"/>
      <w:szCs w:val="26"/>
    </w:rPr>
  </w:style>
  <w:style w:type="character" w:styleId="774" w:customStyle="1">
    <w:name w:val="Heading 5 Char"/>
    <w:basedOn w:val="730"/>
    <w:uiPriority w:val="9"/>
    <w:qFormat/>
    <w:rPr>
      <w:rFonts w:ascii="Arial" w:hAnsi="Arial" w:eastAsia="Arial" w:cs="Arial"/>
      <w:b/>
      <w:bCs/>
      <w:sz w:val="24"/>
      <w:szCs w:val="24"/>
    </w:rPr>
  </w:style>
  <w:style w:type="character" w:styleId="775" w:customStyle="1">
    <w:name w:val="Heading 6 Char"/>
    <w:basedOn w:val="730"/>
    <w:uiPriority w:val="9"/>
    <w:qFormat/>
    <w:rPr>
      <w:rFonts w:ascii="Arial" w:hAnsi="Arial" w:eastAsia="Arial" w:cs="Arial"/>
      <w:b/>
      <w:bCs/>
      <w:sz w:val="22"/>
      <w:szCs w:val="22"/>
    </w:rPr>
  </w:style>
  <w:style w:type="character" w:styleId="776" w:customStyle="1">
    <w:name w:val="Heading 7 Char"/>
    <w:basedOn w:val="730"/>
    <w:uiPriority w:val="9"/>
    <w:qFormat/>
    <w:rPr>
      <w:rFonts w:ascii="Arial" w:hAnsi="Arial" w:eastAsia="Arial" w:cs="Arial"/>
      <w:b/>
      <w:bCs/>
      <w:i/>
      <w:iCs/>
      <w:sz w:val="22"/>
      <w:szCs w:val="22"/>
    </w:rPr>
  </w:style>
  <w:style w:type="character" w:styleId="777" w:customStyle="1">
    <w:name w:val="Heading 8 Char"/>
    <w:basedOn w:val="730"/>
    <w:uiPriority w:val="9"/>
    <w:qFormat/>
    <w:rPr>
      <w:rFonts w:ascii="Arial" w:hAnsi="Arial" w:eastAsia="Arial" w:cs="Arial"/>
      <w:i/>
      <w:iCs/>
      <w:sz w:val="22"/>
      <w:szCs w:val="22"/>
    </w:rPr>
  </w:style>
  <w:style w:type="character" w:styleId="778" w:customStyle="1">
    <w:name w:val="Heading 9 Char"/>
    <w:basedOn w:val="730"/>
    <w:uiPriority w:val="9"/>
    <w:qFormat/>
    <w:rPr>
      <w:rFonts w:ascii="Arial" w:hAnsi="Arial" w:eastAsia="Arial" w:cs="Arial"/>
      <w:i/>
      <w:iCs/>
      <w:sz w:val="21"/>
      <w:szCs w:val="21"/>
    </w:rPr>
  </w:style>
  <w:style w:type="character" w:styleId="779" w:customStyle="1">
    <w:name w:val="Title Char"/>
    <w:basedOn w:val="730"/>
    <w:uiPriority w:val="10"/>
    <w:qFormat/>
    <w:rPr>
      <w:sz w:val="48"/>
      <w:szCs w:val="48"/>
    </w:rPr>
  </w:style>
  <w:style w:type="character" w:styleId="780" w:customStyle="1">
    <w:name w:val="Subtitle Char"/>
    <w:basedOn w:val="730"/>
    <w:uiPriority w:val="11"/>
    <w:qFormat/>
    <w:rPr>
      <w:sz w:val="24"/>
      <w:szCs w:val="24"/>
    </w:rPr>
  </w:style>
  <w:style w:type="character" w:styleId="781" w:customStyle="1">
    <w:name w:val="Quote Char"/>
    <w:uiPriority w:val="29"/>
    <w:qFormat/>
    <w:rPr>
      <w:i/>
    </w:rPr>
  </w:style>
  <w:style w:type="character" w:styleId="782" w:customStyle="1">
    <w:name w:val="Intense Quote Char"/>
    <w:uiPriority w:val="30"/>
    <w:qFormat/>
    <w:rPr>
      <w:i/>
    </w:rPr>
  </w:style>
  <w:style w:type="character" w:styleId="783" w:customStyle="1">
    <w:name w:val="Footnote Text Char"/>
    <w:uiPriority w:val="99"/>
    <w:qFormat/>
    <w:rPr>
      <w:sz w:val="18"/>
    </w:rPr>
  </w:style>
  <w:style w:type="character" w:styleId="784" w:customStyle="1">
    <w:name w:val="Endnote Text Char"/>
    <w:uiPriority w:val="99"/>
    <w:qFormat/>
    <w:rPr>
      <w:sz w:val="20"/>
    </w:rPr>
  </w:style>
  <w:style w:type="paragraph" w:styleId="785" w:customStyle="1">
    <w:name w:val="TOC 标题1"/>
    <w:uiPriority w:val="39"/>
    <w:unhideWhenUsed/>
    <w:qFormat/>
    <w:rPr>
      <w:rFonts w:ascii="Times New Roman" w:hAnsi="Times New Roman" w:eastAsia="宋体" w:cs="Times New Roman"/>
      <w:lang w:val="en-US" w:eastAsia="zh-CN" w:bidi="ar-SA"/>
    </w:rPr>
  </w:style>
  <w:style w:type="character" w:styleId="786" w:customStyle="1">
    <w:name w:val="标题 1 Char"/>
    <w:basedOn w:val="730"/>
    <w:link w:val="690"/>
    <w:uiPriority w:val="9"/>
    <w:qFormat/>
    <w:rPr>
      <w:b/>
      <w:bCs/>
      <w:sz w:val="44"/>
      <w:szCs w:val="44"/>
    </w:rPr>
  </w:style>
  <w:style w:type="character" w:styleId="787" w:customStyle="1">
    <w:name w:val="标题 2 Char"/>
    <w:basedOn w:val="730"/>
    <w:link w:val="691"/>
    <w:uiPriority w:val="9"/>
    <w:qFormat/>
    <w:rPr>
      <w:rFonts w:ascii="Cambria" w:hAnsi="Cambria" w:eastAsia="黑体" w:cs="Arial"/>
      <w:b/>
      <w:bCs/>
      <w:sz w:val="32"/>
      <w:szCs w:val="32"/>
    </w:rPr>
  </w:style>
  <w:style w:type="character" w:styleId="788" w:customStyle="1">
    <w:name w:val="标题 3 Char"/>
    <w:basedOn w:val="730"/>
    <w:link w:val="692"/>
    <w:uiPriority w:val="9"/>
    <w:qFormat/>
    <w:rPr>
      <w:b/>
      <w:bCs/>
      <w:sz w:val="32"/>
      <w:szCs w:val="32"/>
    </w:rPr>
  </w:style>
  <w:style w:type="character" w:styleId="789" w:customStyle="1">
    <w:name w:val="标题 4 Char"/>
    <w:basedOn w:val="730"/>
    <w:link w:val="693"/>
    <w:uiPriority w:val="9"/>
    <w:qFormat/>
    <w:rPr>
      <w:rFonts w:ascii="Arial" w:hAnsi="Arial" w:eastAsia="Arial" w:cs="Arial"/>
      <w:b/>
      <w:bCs/>
      <w:sz w:val="26"/>
      <w:szCs w:val="26"/>
    </w:rPr>
  </w:style>
  <w:style w:type="character" w:styleId="790" w:customStyle="1">
    <w:name w:val="标题 5 Char"/>
    <w:basedOn w:val="730"/>
    <w:link w:val="694"/>
    <w:uiPriority w:val="9"/>
    <w:qFormat/>
    <w:rPr>
      <w:rFonts w:ascii="Arial" w:hAnsi="Arial" w:eastAsia="Arial" w:cs="Arial"/>
      <w:b/>
      <w:bCs/>
      <w:sz w:val="24"/>
      <w:szCs w:val="24"/>
    </w:rPr>
  </w:style>
  <w:style w:type="character" w:styleId="791" w:customStyle="1">
    <w:name w:val="标题 6 Char"/>
    <w:basedOn w:val="730"/>
    <w:link w:val="695"/>
    <w:uiPriority w:val="9"/>
    <w:qFormat/>
    <w:rPr>
      <w:rFonts w:ascii="Arial" w:hAnsi="Arial" w:eastAsia="Arial" w:cs="Arial"/>
      <w:b/>
      <w:bCs/>
      <w:sz w:val="22"/>
      <w:szCs w:val="22"/>
    </w:rPr>
  </w:style>
  <w:style w:type="character" w:styleId="792" w:customStyle="1">
    <w:name w:val="标题 7 Char"/>
    <w:basedOn w:val="730"/>
    <w:link w:val="696"/>
    <w:uiPriority w:val="9"/>
    <w:qFormat/>
    <w:rPr>
      <w:rFonts w:ascii="Arial" w:hAnsi="Arial" w:eastAsia="Arial" w:cs="Arial"/>
      <w:b/>
      <w:bCs/>
      <w:i/>
      <w:iCs/>
      <w:sz w:val="22"/>
      <w:szCs w:val="22"/>
    </w:rPr>
  </w:style>
  <w:style w:type="character" w:styleId="793" w:customStyle="1">
    <w:name w:val="标题 8 Char"/>
    <w:basedOn w:val="730"/>
    <w:link w:val="697"/>
    <w:uiPriority w:val="9"/>
    <w:qFormat/>
    <w:rPr>
      <w:rFonts w:ascii="Arial" w:hAnsi="Arial" w:eastAsia="Arial" w:cs="Arial"/>
      <w:i/>
      <w:iCs/>
      <w:sz w:val="22"/>
      <w:szCs w:val="22"/>
    </w:rPr>
  </w:style>
  <w:style w:type="character" w:styleId="794" w:customStyle="1">
    <w:name w:val="标题 9 Char"/>
    <w:basedOn w:val="730"/>
    <w:link w:val="698"/>
    <w:uiPriority w:val="9"/>
    <w:qFormat/>
    <w:rPr>
      <w:rFonts w:ascii="Arial" w:hAnsi="Arial" w:eastAsia="Arial" w:cs="Arial"/>
      <w:i/>
      <w:iCs/>
      <w:sz w:val="21"/>
      <w:szCs w:val="21"/>
    </w:rPr>
  </w:style>
  <w:style w:type="paragraph" w:styleId="795" w:customStyle="1">
    <w:name w:val="Caption1"/>
    <w:basedOn w:val="689"/>
    <w:next w:val="689"/>
    <w:uiPriority w:val="35"/>
    <w:unhideWhenUsed/>
    <w:qFormat/>
    <w:pPr>
      <w:spacing w:line="276" w:lineRule="auto"/>
    </w:pPr>
    <w:rPr>
      <w:b/>
      <w:bCs/>
      <w:color w:val="4f81bd"/>
      <w:sz w:val="18"/>
      <w:szCs w:val="18"/>
    </w:rPr>
  </w:style>
  <w:style w:type="paragraph" w:styleId="796" w:customStyle="1">
    <w:name w:val="Footer1"/>
    <w:basedOn w:val="689"/>
    <w:link w:val="797"/>
    <w:uiPriority w:val="99"/>
    <w:unhideWhenUsed/>
    <w:qFormat/>
    <w:pPr>
      <w:jc w:val="left"/>
      <w:tabs>
        <w:tab w:val="center" w:pos="4153" w:leader="none"/>
        <w:tab w:val="right" w:pos="8306" w:leader="none"/>
      </w:tabs>
    </w:pPr>
    <w:rPr>
      <w:sz w:val="18"/>
      <w:szCs w:val="18"/>
    </w:rPr>
  </w:style>
  <w:style w:type="character" w:styleId="797" w:customStyle="1">
    <w:name w:val="页脚 Char"/>
    <w:basedOn w:val="730"/>
    <w:link w:val="796"/>
    <w:uiPriority w:val="99"/>
    <w:qFormat/>
    <w:rPr>
      <w:sz w:val="18"/>
      <w:szCs w:val="18"/>
    </w:rPr>
  </w:style>
  <w:style w:type="paragraph" w:styleId="798" w:customStyle="1">
    <w:name w:val="Header1"/>
    <w:basedOn w:val="689"/>
    <w:link w:val="799"/>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799" w:customStyle="1">
    <w:name w:val="页眉 Char"/>
    <w:basedOn w:val="730"/>
    <w:link w:val="798"/>
    <w:uiPriority w:val="99"/>
    <w:semiHidden/>
    <w:qFormat/>
    <w:rPr>
      <w:sz w:val="18"/>
      <w:szCs w:val="18"/>
    </w:rPr>
  </w:style>
  <w:style w:type="character" w:styleId="800" w:customStyle="1">
    <w:name w:val="Heading 1 Char"/>
    <w:basedOn w:val="730"/>
    <w:uiPriority w:val="9"/>
    <w:qFormat/>
    <w:rPr>
      <w:rFonts w:ascii="Arial" w:hAnsi="Arial" w:eastAsia="Arial" w:cs="Arial"/>
      <w:sz w:val="40"/>
      <w:szCs w:val="40"/>
    </w:rPr>
  </w:style>
  <w:style w:type="character" w:styleId="801" w:customStyle="1">
    <w:name w:val="Heading 2 Char"/>
    <w:basedOn w:val="730"/>
    <w:uiPriority w:val="9"/>
    <w:qFormat/>
    <w:rPr>
      <w:rFonts w:ascii="Arial" w:hAnsi="Arial" w:eastAsia="Arial" w:cs="Arial"/>
      <w:sz w:val="34"/>
    </w:rPr>
  </w:style>
  <w:style w:type="character" w:styleId="802" w:customStyle="1">
    <w:name w:val="Heading 3 Char"/>
    <w:basedOn w:val="730"/>
    <w:uiPriority w:val="9"/>
    <w:qFormat/>
    <w:rPr>
      <w:rFonts w:ascii="Arial" w:hAnsi="Arial" w:eastAsia="Arial" w:cs="Arial"/>
      <w:sz w:val="30"/>
      <w:szCs w:val="30"/>
    </w:rPr>
  </w:style>
  <w:style w:type="paragraph" w:styleId="803">
    <w:name w:val="No Spacing"/>
    <w:uiPriority w:val="1"/>
    <w:qFormat/>
    <w:rPr>
      <w:rFonts w:ascii="Calibri" w:hAnsi="Calibri" w:eastAsia="宋体" w:cs="Arial"/>
      <w:sz w:val="21"/>
      <w:szCs w:val="22"/>
      <w:lang w:val="en-US" w:eastAsia="zh-CN" w:bidi="ar-SA"/>
    </w:rPr>
  </w:style>
  <w:style w:type="paragraph" w:styleId="804">
    <w:name w:val="Quote"/>
    <w:basedOn w:val="689"/>
    <w:next w:val="689"/>
    <w:link w:val="805"/>
    <w:uiPriority w:val="29"/>
    <w:qFormat/>
    <w:pPr>
      <w:ind w:left="720" w:right="720"/>
    </w:pPr>
    <w:rPr>
      <w:i/>
    </w:rPr>
  </w:style>
  <w:style w:type="character" w:styleId="805" w:customStyle="1">
    <w:name w:val="引用 Char"/>
    <w:link w:val="804"/>
    <w:uiPriority w:val="29"/>
    <w:qFormat/>
    <w:rPr>
      <w:i/>
    </w:rPr>
  </w:style>
  <w:style w:type="paragraph" w:styleId="806">
    <w:name w:val="Intense Quote"/>
    <w:basedOn w:val="689"/>
    <w:next w:val="689"/>
    <w:link w:val="80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7" w:customStyle="1">
    <w:name w:val="明显引用 Char"/>
    <w:link w:val="806"/>
    <w:uiPriority w:val="30"/>
    <w:qFormat/>
    <w:rPr>
      <w:i/>
    </w:rPr>
  </w:style>
  <w:style w:type="character" w:styleId="808" w:customStyle="1">
    <w:name w:val="Header Char"/>
    <w:basedOn w:val="730"/>
    <w:uiPriority w:val="99"/>
    <w:qFormat/>
  </w:style>
  <w:style w:type="character" w:styleId="809" w:customStyle="1">
    <w:name w:val="Footer Char"/>
    <w:basedOn w:val="730"/>
    <w:uiPriority w:val="99"/>
    <w:qFormat/>
  </w:style>
  <w:style w:type="character" w:styleId="810" w:customStyle="1">
    <w:name w:val="Caption Char"/>
    <w:uiPriority w:val="99"/>
    <w:qFormat/>
  </w:style>
  <w:style w:type="table" w:styleId="811" w:customStyle="1">
    <w:name w:val="Table Grid Light"/>
    <w:basedOn w:val="731"/>
    <w:uiPriority w:val="59"/>
    <w:qFormat/>
    <w:tblPr>
      <w:tblCellMar>
        <w:left w:w="0" w:type="dxa"/>
        <w:top w:w="0" w:type="dxa"/>
        <w:right w:w="0" w:type="dxa"/>
        <w:bottom w:w="0" w:type="dxa"/>
      </w:tblCellMar>
    </w:tblPr>
  </w:style>
  <w:style w:type="table" w:styleId="812" w:customStyle="1">
    <w:name w:val="Plain Table 1"/>
    <w:basedOn w:val="731"/>
    <w:uiPriority w:val="59"/>
    <w:qFormat/>
    <w:tblPr>
      <w:tblCellMar>
        <w:left w:w="0" w:type="dxa"/>
        <w:top w:w="0" w:type="dxa"/>
        <w:right w:w="0" w:type="dxa"/>
        <w:bottom w:w="0" w:type="dxa"/>
      </w:tblCellMar>
    </w:tblPr>
  </w:style>
  <w:style w:type="table" w:styleId="813" w:customStyle="1">
    <w:name w:val="Plain Table 2"/>
    <w:basedOn w:val="731"/>
    <w:uiPriority w:val="59"/>
    <w:qFormat/>
    <w:tblPr>
      <w:tblCellMar>
        <w:left w:w="0" w:type="dxa"/>
        <w:top w:w="0" w:type="dxa"/>
        <w:right w:w="0" w:type="dxa"/>
        <w:bottom w:w="0" w:type="dxa"/>
      </w:tblCellMar>
    </w:tblPr>
  </w:style>
  <w:style w:type="table" w:styleId="814" w:customStyle="1">
    <w:name w:val="Plain Table 3"/>
    <w:basedOn w:val="731"/>
    <w:uiPriority w:val="99"/>
    <w:qFormat/>
    <w:tblPr>
      <w:tblCellMar>
        <w:left w:w="0" w:type="dxa"/>
        <w:top w:w="0" w:type="dxa"/>
        <w:right w:w="0" w:type="dxa"/>
        <w:bottom w:w="0" w:type="dxa"/>
      </w:tblCellMar>
    </w:tblPr>
  </w:style>
  <w:style w:type="table" w:styleId="815" w:customStyle="1">
    <w:name w:val="Plain Table 4"/>
    <w:basedOn w:val="731"/>
    <w:uiPriority w:val="99"/>
    <w:qFormat/>
    <w:tblPr>
      <w:tblCellMar>
        <w:left w:w="0" w:type="dxa"/>
        <w:top w:w="0" w:type="dxa"/>
        <w:right w:w="0" w:type="dxa"/>
        <w:bottom w:w="0" w:type="dxa"/>
      </w:tblCellMar>
    </w:tblPr>
  </w:style>
  <w:style w:type="table" w:styleId="816" w:customStyle="1">
    <w:name w:val="Plain Table 5"/>
    <w:basedOn w:val="731"/>
    <w:uiPriority w:val="99"/>
    <w:qFormat/>
    <w:tblPr>
      <w:tblCellMar>
        <w:left w:w="0" w:type="dxa"/>
        <w:top w:w="0" w:type="dxa"/>
        <w:right w:w="0" w:type="dxa"/>
        <w:bottom w:w="0" w:type="dxa"/>
      </w:tblCellMar>
    </w:tblPr>
  </w:style>
  <w:style w:type="table" w:styleId="817" w:customStyle="1">
    <w:name w:val="Grid Table 1 Light"/>
    <w:basedOn w:val="731"/>
    <w:uiPriority w:val="99"/>
    <w:qFormat/>
    <w:tblPr>
      <w:tblCellMar>
        <w:left w:w="0" w:type="dxa"/>
        <w:top w:w="0" w:type="dxa"/>
        <w:right w:w="0" w:type="dxa"/>
        <w:bottom w:w="0" w:type="dxa"/>
      </w:tblCellMar>
    </w:tblPr>
  </w:style>
  <w:style w:type="table" w:styleId="818" w:customStyle="1">
    <w:name w:val="Grid Table 1 Light - Accent 1"/>
    <w:basedOn w:val="731"/>
    <w:uiPriority w:val="99"/>
    <w:qFormat/>
    <w:tblPr>
      <w:tblCellMar>
        <w:left w:w="0" w:type="dxa"/>
        <w:top w:w="0" w:type="dxa"/>
        <w:right w:w="0" w:type="dxa"/>
        <w:bottom w:w="0" w:type="dxa"/>
      </w:tblCellMar>
    </w:tblPr>
  </w:style>
  <w:style w:type="table" w:styleId="819" w:customStyle="1">
    <w:name w:val="Grid Table 1 Light - Accent 2"/>
    <w:basedOn w:val="731"/>
    <w:uiPriority w:val="99"/>
    <w:qFormat/>
    <w:tblPr>
      <w:tblCellMar>
        <w:left w:w="0" w:type="dxa"/>
        <w:top w:w="0" w:type="dxa"/>
        <w:right w:w="0" w:type="dxa"/>
        <w:bottom w:w="0" w:type="dxa"/>
      </w:tblCellMar>
    </w:tblPr>
  </w:style>
  <w:style w:type="table" w:styleId="820" w:customStyle="1">
    <w:name w:val="Grid Table 1 Light - Accent 3"/>
    <w:basedOn w:val="731"/>
    <w:uiPriority w:val="99"/>
    <w:qFormat/>
    <w:tblPr>
      <w:tblCellMar>
        <w:left w:w="0" w:type="dxa"/>
        <w:top w:w="0" w:type="dxa"/>
        <w:right w:w="0" w:type="dxa"/>
        <w:bottom w:w="0" w:type="dxa"/>
      </w:tblCellMar>
    </w:tblPr>
  </w:style>
  <w:style w:type="table" w:styleId="821" w:customStyle="1">
    <w:name w:val="Grid Table 1 Light - Accent 4"/>
    <w:basedOn w:val="731"/>
    <w:uiPriority w:val="99"/>
    <w:qFormat/>
    <w:tblPr>
      <w:tblCellMar>
        <w:left w:w="0" w:type="dxa"/>
        <w:top w:w="0" w:type="dxa"/>
        <w:right w:w="0" w:type="dxa"/>
        <w:bottom w:w="0" w:type="dxa"/>
      </w:tblCellMar>
    </w:tblPr>
  </w:style>
  <w:style w:type="table" w:styleId="822" w:customStyle="1">
    <w:name w:val="Grid Table 1 Light - Accent 5"/>
    <w:basedOn w:val="731"/>
    <w:uiPriority w:val="99"/>
    <w:qFormat/>
    <w:tblPr>
      <w:tblCellMar>
        <w:left w:w="0" w:type="dxa"/>
        <w:top w:w="0" w:type="dxa"/>
        <w:right w:w="0" w:type="dxa"/>
        <w:bottom w:w="0" w:type="dxa"/>
      </w:tblCellMar>
    </w:tblPr>
  </w:style>
  <w:style w:type="table" w:styleId="823" w:customStyle="1">
    <w:name w:val="Grid Table 1 Light - Accent 6"/>
    <w:basedOn w:val="731"/>
    <w:uiPriority w:val="99"/>
    <w:qFormat/>
    <w:tblPr>
      <w:tblCellMar>
        <w:left w:w="0" w:type="dxa"/>
        <w:top w:w="0" w:type="dxa"/>
        <w:right w:w="0" w:type="dxa"/>
        <w:bottom w:w="0" w:type="dxa"/>
      </w:tblCellMar>
    </w:tblPr>
  </w:style>
  <w:style w:type="table" w:styleId="824" w:customStyle="1">
    <w:name w:val="Grid Table 2"/>
    <w:basedOn w:val="731"/>
    <w:uiPriority w:val="99"/>
    <w:qFormat/>
    <w:tblPr>
      <w:tblCellMar>
        <w:left w:w="0" w:type="dxa"/>
        <w:top w:w="0" w:type="dxa"/>
        <w:right w:w="0" w:type="dxa"/>
        <w:bottom w:w="0" w:type="dxa"/>
      </w:tblCellMar>
    </w:tblPr>
  </w:style>
  <w:style w:type="table" w:styleId="825" w:customStyle="1">
    <w:name w:val="Grid Table 2 - Accent 1"/>
    <w:basedOn w:val="731"/>
    <w:uiPriority w:val="99"/>
    <w:qFormat/>
    <w:tblPr>
      <w:tblCellMar>
        <w:left w:w="0" w:type="dxa"/>
        <w:top w:w="0" w:type="dxa"/>
        <w:right w:w="0" w:type="dxa"/>
        <w:bottom w:w="0" w:type="dxa"/>
      </w:tblCellMar>
    </w:tblPr>
  </w:style>
  <w:style w:type="table" w:styleId="826" w:customStyle="1">
    <w:name w:val="Grid Table 2 - Accent 2"/>
    <w:basedOn w:val="731"/>
    <w:uiPriority w:val="99"/>
    <w:qFormat/>
    <w:tblPr>
      <w:tblCellMar>
        <w:left w:w="0" w:type="dxa"/>
        <w:top w:w="0" w:type="dxa"/>
        <w:right w:w="0" w:type="dxa"/>
        <w:bottom w:w="0" w:type="dxa"/>
      </w:tblCellMar>
    </w:tblPr>
  </w:style>
  <w:style w:type="table" w:styleId="827" w:customStyle="1">
    <w:name w:val="Grid Table 2 - Accent 3"/>
    <w:basedOn w:val="731"/>
    <w:uiPriority w:val="99"/>
    <w:qFormat/>
    <w:tblPr>
      <w:tblCellMar>
        <w:left w:w="0" w:type="dxa"/>
        <w:top w:w="0" w:type="dxa"/>
        <w:right w:w="0" w:type="dxa"/>
        <w:bottom w:w="0" w:type="dxa"/>
      </w:tblCellMar>
    </w:tblPr>
  </w:style>
  <w:style w:type="table" w:styleId="828" w:customStyle="1">
    <w:name w:val="Grid Table 2 - Accent 4"/>
    <w:basedOn w:val="731"/>
    <w:uiPriority w:val="99"/>
    <w:qFormat/>
    <w:tblPr>
      <w:tblCellMar>
        <w:left w:w="0" w:type="dxa"/>
        <w:top w:w="0" w:type="dxa"/>
        <w:right w:w="0" w:type="dxa"/>
        <w:bottom w:w="0" w:type="dxa"/>
      </w:tblCellMar>
    </w:tblPr>
  </w:style>
  <w:style w:type="table" w:styleId="829" w:customStyle="1">
    <w:name w:val="Grid Table 2 - Accent 5"/>
    <w:basedOn w:val="731"/>
    <w:uiPriority w:val="99"/>
    <w:qFormat/>
    <w:tblPr>
      <w:tblCellMar>
        <w:left w:w="0" w:type="dxa"/>
        <w:top w:w="0" w:type="dxa"/>
        <w:right w:w="0" w:type="dxa"/>
        <w:bottom w:w="0" w:type="dxa"/>
      </w:tblCellMar>
    </w:tblPr>
  </w:style>
  <w:style w:type="table" w:styleId="830" w:customStyle="1">
    <w:name w:val="Grid Table 2 - Accent 6"/>
    <w:basedOn w:val="731"/>
    <w:uiPriority w:val="99"/>
    <w:qFormat/>
    <w:tblPr>
      <w:tblCellMar>
        <w:left w:w="0" w:type="dxa"/>
        <w:top w:w="0" w:type="dxa"/>
        <w:right w:w="0" w:type="dxa"/>
        <w:bottom w:w="0" w:type="dxa"/>
      </w:tblCellMar>
    </w:tblPr>
  </w:style>
  <w:style w:type="table" w:styleId="831" w:customStyle="1">
    <w:name w:val="Grid Table 3"/>
    <w:basedOn w:val="731"/>
    <w:uiPriority w:val="99"/>
    <w:qFormat/>
    <w:tblPr>
      <w:tblCellMar>
        <w:left w:w="0" w:type="dxa"/>
        <w:top w:w="0" w:type="dxa"/>
        <w:right w:w="0" w:type="dxa"/>
        <w:bottom w:w="0" w:type="dxa"/>
      </w:tblCellMar>
    </w:tblPr>
  </w:style>
  <w:style w:type="table" w:styleId="832" w:customStyle="1">
    <w:name w:val="Grid Table 3 - Accent 1"/>
    <w:basedOn w:val="731"/>
    <w:uiPriority w:val="99"/>
    <w:qFormat/>
    <w:tblPr>
      <w:tblCellMar>
        <w:left w:w="0" w:type="dxa"/>
        <w:top w:w="0" w:type="dxa"/>
        <w:right w:w="0" w:type="dxa"/>
        <w:bottom w:w="0" w:type="dxa"/>
      </w:tblCellMar>
    </w:tblPr>
  </w:style>
  <w:style w:type="table" w:styleId="833" w:customStyle="1">
    <w:name w:val="Grid Table 3 - Accent 2"/>
    <w:basedOn w:val="731"/>
    <w:uiPriority w:val="99"/>
    <w:qFormat/>
    <w:tblPr>
      <w:tblCellMar>
        <w:left w:w="0" w:type="dxa"/>
        <w:top w:w="0" w:type="dxa"/>
        <w:right w:w="0" w:type="dxa"/>
        <w:bottom w:w="0" w:type="dxa"/>
      </w:tblCellMar>
    </w:tblPr>
  </w:style>
  <w:style w:type="table" w:styleId="834" w:customStyle="1">
    <w:name w:val="Grid Table 3 - Accent 3"/>
    <w:basedOn w:val="731"/>
    <w:uiPriority w:val="99"/>
    <w:qFormat/>
    <w:tblPr>
      <w:tblCellMar>
        <w:left w:w="0" w:type="dxa"/>
        <w:top w:w="0" w:type="dxa"/>
        <w:right w:w="0" w:type="dxa"/>
        <w:bottom w:w="0" w:type="dxa"/>
      </w:tblCellMar>
    </w:tblPr>
  </w:style>
  <w:style w:type="table" w:styleId="835" w:customStyle="1">
    <w:name w:val="Grid Table 3 - Accent 4"/>
    <w:basedOn w:val="731"/>
    <w:uiPriority w:val="99"/>
    <w:qFormat/>
    <w:tblPr>
      <w:tblCellMar>
        <w:left w:w="0" w:type="dxa"/>
        <w:top w:w="0" w:type="dxa"/>
        <w:right w:w="0" w:type="dxa"/>
        <w:bottom w:w="0" w:type="dxa"/>
      </w:tblCellMar>
    </w:tblPr>
  </w:style>
  <w:style w:type="table" w:styleId="836" w:customStyle="1">
    <w:name w:val="Grid Table 3 - Accent 5"/>
    <w:basedOn w:val="731"/>
    <w:uiPriority w:val="99"/>
    <w:qFormat/>
    <w:tblPr>
      <w:tblCellMar>
        <w:left w:w="0" w:type="dxa"/>
        <w:top w:w="0" w:type="dxa"/>
        <w:right w:w="0" w:type="dxa"/>
        <w:bottom w:w="0" w:type="dxa"/>
      </w:tblCellMar>
    </w:tblPr>
  </w:style>
  <w:style w:type="table" w:styleId="837" w:customStyle="1">
    <w:name w:val="Grid Table 3 - Accent 6"/>
    <w:basedOn w:val="731"/>
    <w:uiPriority w:val="99"/>
    <w:qFormat/>
    <w:tblPr>
      <w:tblCellMar>
        <w:left w:w="0" w:type="dxa"/>
        <w:top w:w="0" w:type="dxa"/>
        <w:right w:w="0" w:type="dxa"/>
        <w:bottom w:w="0" w:type="dxa"/>
      </w:tblCellMar>
    </w:tblPr>
  </w:style>
  <w:style w:type="table" w:styleId="838" w:customStyle="1">
    <w:name w:val="Grid Table 4"/>
    <w:basedOn w:val="731"/>
    <w:uiPriority w:val="59"/>
    <w:qFormat/>
    <w:tblPr>
      <w:tblCellMar>
        <w:left w:w="0" w:type="dxa"/>
        <w:top w:w="0" w:type="dxa"/>
        <w:right w:w="0" w:type="dxa"/>
        <w:bottom w:w="0" w:type="dxa"/>
      </w:tblCellMar>
    </w:tblPr>
  </w:style>
  <w:style w:type="table" w:styleId="839" w:customStyle="1">
    <w:name w:val="Grid Table 4 - Accent 1"/>
    <w:basedOn w:val="731"/>
    <w:uiPriority w:val="59"/>
    <w:qFormat/>
    <w:tblPr>
      <w:tblCellMar>
        <w:left w:w="0" w:type="dxa"/>
        <w:top w:w="0" w:type="dxa"/>
        <w:right w:w="0" w:type="dxa"/>
        <w:bottom w:w="0" w:type="dxa"/>
      </w:tblCellMar>
    </w:tblPr>
  </w:style>
  <w:style w:type="table" w:styleId="840" w:customStyle="1">
    <w:name w:val="Grid Table 4 - Accent 2"/>
    <w:basedOn w:val="731"/>
    <w:uiPriority w:val="59"/>
    <w:qFormat/>
    <w:tblPr>
      <w:tblCellMar>
        <w:left w:w="0" w:type="dxa"/>
        <w:top w:w="0" w:type="dxa"/>
        <w:right w:w="0" w:type="dxa"/>
        <w:bottom w:w="0" w:type="dxa"/>
      </w:tblCellMar>
    </w:tblPr>
  </w:style>
  <w:style w:type="table" w:styleId="841" w:customStyle="1">
    <w:name w:val="Grid Table 4 - Accent 3"/>
    <w:basedOn w:val="731"/>
    <w:uiPriority w:val="59"/>
    <w:qFormat/>
    <w:tblPr>
      <w:tblCellMar>
        <w:left w:w="0" w:type="dxa"/>
        <w:top w:w="0" w:type="dxa"/>
        <w:right w:w="0" w:type="dxa"/>
        <w:bottom w:w="0" w:type="dxa"/>
      </w:tblCellMar>
    </w:tblPr>
  </w:style>
  <w:style w:type="table" w:styleId="842" w:customStyle="1">
    <w:name w:val="Grid Table 4 - Accent 4"/>
    <w:basedOn w:val="731"/>
    <w:uiPriority w:val="59"/>
    <w:qFormat/>
    <w:tblPr>
      <w:tblCellMar>
        <w:left w:w="0" w:type="dxa"/>
        <w:top w:w="0" w:type="dxa"/>
        <w:right w:w="0" w:type="dxa"/>
        <w:bottom w:w="0" w:type="dxa"/>
      </w:tblCellMar>
    </w:tblPr>
  </w:style>
  <w:style w:type="table" w:styleId="843" w:customStyle="1">
    <w:name w:val="Grid Table 4 - Accent 5"/>
    <w:basedOn w:val="731"/>
    <w:uiPriority w:val="59"/>
    <w:qFormat/>
    <w:tblPr>
      <w:tblCellMar>
        <w:left w:w="0" w:type="dxa"/>
        <w:top w:w="0" w:type="dxa"/>
        <w:right w:w="0" w:type="dxa"/>
        <w:bottom w:w="0" w:type="dxa"/>
      </w:tblCellMar>
    </w:tblPr>
  </w:style>
  <w:style w:type="table" w:styleId="844" w:customStyle="1">
    <w:name w:val="Grid Table 4 - Accent 6"/>
    <w:basedOn w:val="731"/>
    <w:uiPriority w:val="59"/>
    <w:qFormat/>
    <w:tblPr>
      <w:tblCellMar>
        <w:left w:w="0" w:type="dxa"/>
        <w:top w:w="0" w:type="dxa"/>
        <w:right w:w="0" w:type="dxa"/>
        <w:bottom w:w="0" w:type="dxa"/>
      </w:tblCellMar>
    </w:tblPr>
  </w:style>
  <w:style w:type="table" w:styleId="845" w:customStyle="1">
    <w:name w:val="Grid Table 5 Dark"/>
    <w:basedOn w:val="731"/>
    <w:uiPriority w:val="99"/>
    <w:qFormat/>
    <w:tblPr>
      <w:tblCellMar>
        <w:left w:w="0" w:type="dxa"/>
        <w:top w:w="0" w:type="dxa"/>
        <w:right w:w="0" w:type="dxa"/>
        <w:bottom w:w="0" w:type="dxa"/>
      </w:tblCellMar>
    </w:tblPr>
  </w:style>
  <w:style w:type="table" w:styleId="846" w:customStyle="1">
    <w:name w:val="Grid Table 5 Dark- Accent 1"/>
    <w:basedOn w:val="731"/>
    <w:uiPriority w:val="99"/>
    <w:qFormat/>
    <w:tblPr>
      <w:tblCellMar>
        <w:left w:w="0" w:type="dxa"/>
        <w:top w:w="0" w:type="dxa"/>
        <w:right w:w="0" w:type="dxa"/>
        <w:bottom w:w="0" w:type="dxa"/>
      </w:tblCellMar>
    </w:tblPr>
  </w:style>
  <w:style w:type="table" w:styleId="847" w:customStyle="1">
    <w:name w:val="Grid Table 5 Dark - Accent 2"/>
    <w:basedOn w:val="731"/>
    <w:uiPriority w:val="99"/>
    <w:qFormat/>
    <w:tblPr>
      <w:tblCellMar>
        <w:left w:w="0" w:type="dxa"/>
        <w:top w:w="0" w:type="dxa"/>
        <w:right w:w="0" w:type="dxa"/>
        <w:bottom w:w="0" w:type="dxa"/>
      </w:tblCellMar>
    </w:tblPr>
  </w:style>
  <w:style w:type="table" w:styleId="848" w:customStyle="1">
    <w:name w:val="Grid Table 5 Dark - Accent 3"/>
    <w:basedOn w:val="731"/>
    <w:uiPriority w:val="99"/>
    <w:qFormat/>
    <w:tblPr>
      <w:tblCellMar>
        <w:left w:w="0" w:type="dxa"/>
        <w:top w:w="0" w:type="dxa"/>
        <w:right w:w="0" w:type="dxa"/>
        <w:bottom w:w="0" w:type="dxa"/>
      </w:tblCellMar>
    </w:tblPr>
  </w:style>
  <w:style w:type="table" w:styleId="849" w:customStyle="1">
    <w:name w:val="Grid Table 5 Dark- Accent 4"/>
    <w:basedOn w:val="731"/>
    <w:uiPriority w:val="99"/>
    <w:qFormat/>
    <w:tblPr>
      <w:tblCellMar>
        <w:left w:w="0" w:type="dxa"/>
        <w:top w:w="0" w:type="dxa"/>
        <w:right w:w="0" w:type="dxa"/>
        <w:bottom w:w="0" w:type="dxa"/>
      </w:tblCellMar>
    </w:tblPr>
  </w:style>
  <w:style w:type="table" w:styleId="850" w:customStyle="1">
    <w:name w:val="Grid Table 5 Dark - Accent 5"/>
    <w:basedOn w:val="731"/>
    <w:uiPriority w:val="99"/>
    <w:qFormat/>
    <w:tblPr>
      <w:tblCellMar>
        <w:left w:w="0" w:type="dxa"/>
        <w:top w:w="0" w:type="dxa"/>
        <w:right w:w="0" w:type="dxa"/>
        <w:bottom w:w="0" w:type="dxa"/>
      </w:tblCellMar>
    </w:tblPr>
  </w:style>
  <w:style w:type="table" w:styleId="851" w:customStyle="1">
    <w:name w:val="Grid Table 5 Dark - Accent 6"/>
    <w:basedOn w:val="731"/>
    <w:uiPriority w:val="99"/>
    <w:qFormat/>
    <w:tblPr>
      <w:tblCellMar>
        <w:left w:w="0" w:type="dxa"/>
        <w:top w:w="0" w:type="dxa"/>
        <w:right w:w="0" w:type="dxa"/>
        <w:bottom w:w="0" w:type="dxa"/>
      </w:tblCellMar>
    </w:tblPr>
  </w:style>
  <w:style w:type="table" w:styleId="852" w:customStyle="1">
    <w:name w:val="Grid Table 6 Colorful"/>
    <w:basedOn w:val="731"/>
    <w:uiPriority w:val="99"/>
    <w:qFormat/>
    <w:tblPr>
      <w:tblCellMar>
        <w:left w:w="0" w:type="dxa"/>
        <w:top w:w="0" w:type="dxa"/>
        <w:right w:w="0" w:type="dxa"/>
        <w:bottom w:w="0" w:type="dxa"/>
      </w:tblCellMar>
    </w:tblPr>
  </w:style>
  <w:style w:type="table" w:styleId="853" w:customStyle="1">
    <w:name w:val="Grid Table 6 Colorful - Accent 1"/>
    <w:basedOn w:val="731"/>
    <w:uiPriority w:val="99"/>
    <w:qFormat/>
    <w:tblPr>
      <w:tblCellMar>
        <w:left w:w="0" w:type="dxa"/>
        <w:top w:w="0" w:type="dxa"/>
        <w:right w:w="0" w:type="dxa"/>
        <w:bottom w:w="0" w:type="dxa"/>
      </w:tblCellMar>
    </w:tblPr>
  </w:style>
  <w:style w:type="table" w:styleId="854" w:customStyle="1">
    <w:name w:val="Grid Table 6 Colorful - Accent 2"/>
    <w:basedOn w:val="731"/>
    <w:uiPriority w:val="99"/>
    <w:qFormat/>
    <w:tblPr>
      <w:tblCellMar>
        <w:left w:w="0" w:type="dxa"/>
        <w:top w:w="0" w:type="dxa"/>
        <w:right w:w="0" w:type="dxa"/>
        <w:bottom w:w="0" w:type="dxa"/>
      </w:tblCellMar>
    </w:tblPr>
  </w:style>
  <w:style w:type="table" w:styleId="855" w:customStyle="1">
    <w:name w:val="Grid Table 6 Colorful - Accent 3"/>
    <w:basedOn w:val="731"/>
    <w:uiPriority w:val="99"/>
    <w:qFormat/>
    <w:tblPr>
      <w:tblCellMar>
        <w:left w:w="0" w:type="dxa"/>
        <w:top w:w="0" w:type="dxa"/>
        <w:right w:w="0" w:type="dxa"/>
        <w:bottom w:w="0" w:type="dxa"/>
      </w:tblCellMar>
    </w:tblPr>
  </w:style>
  <w:style w:type="table" w:styleId="856" w:customStyle="1">
    <w:name w:val="Grid Table 6 Colorful - Accent 4"/>
    <w:basedOn w:val="731"/>
    <w:uiPriority w:val="99"/>
    <w:qFormat/>
    <w:tblPr>
      <w:tblCellMar>
        <w:left w:w="0" w:type="dxa"/>
        <w:top w:w="0" w:type="dxa"/>
        <w:right w:w="0" w:type="dxa"/>
        <w:bottom w:w="0" w:type="dxa"/>
      </w:tblCellMar>
    </w:tblPr>
  </w:style>
  <w:style w:type="table" w:styleId="857" w:customStyle="1">
    <w:name w:val="Grid Table 6 Colorful - Accent 5"/>
    <w:basedOn w:val="731"/>
    <w:uiPriority w:val="99"/>
    <w:qFormat/>
    <w:tblPr>
      <w:tblCellMar>
        <w:left w:w="0" w:type="dxa"/>
        <w:top w:w="0" w:type="dxa"/>
        <w:right w:w="0" w:type="dxa"/>
        <w:bottom w:w="0" w:type="dxa"/>
      </w:tblCellMar>
    </w:tblPr>
  </w:style>
  <w:style w:type="table" w:styleId="858" w:customStyle="1">
    <w:name w:val="Grid Table 6 Colorful - Accent 6"/>
    <w:basedOn w:val="731"/>
    <w:uiPriority w:val="99"/>
    <w:qFormat/>
    <w:tblPr>
      <w:tblCellMar>
        <w:left w:w="0" w:type="dxa"/>
        <w:top w:w="0" w:type="dxa"/>
        <w:right w:w="0" w:type="dxa"/>
        <w:bottom w:w="0" w:type="dxa"/>
      </w:tblCellMar>
    </w:tblPr>
  </w:style>
  <w:style w:type="table" w:styleId="859" w:customStyle="1">
    <w:name w:val="Grid Table 7 Colorful"/>
    <w:basedOn w:val="731"/>
    <w:uiPriority w:val="99"/>
    <w:qFormat/>
    <w:tblPr>
      <w:tblCellMar>
        <w:left w:w="0" w:type="dxa"/>
        <w:top w:w="0" w:type="dxa"/>
        <w:right w:w="0" w:type="dxa"/>
        <w:bottom w:w="0" w:type="dxa"/>
      </w:tblCellMar>
    </w:tblPr>
  </w:style>
  <w:style w:type="table" w:styleId="860" w:customStyle="1">
    <w:name w:val="Grid Table 7 Colorful - Accent 1"/>
    <w:basedOn w:val="731"/>
    <w:uiPriority w:val="99"/>
    <w:qFormat/>
    <w:tblPr>
      <w:tblCellMar>
        <w:left w:w="0" w:type="dxa"/>
        <w:top w:w="0" w:type="dxa"/>
        <w:right w:w="0" w:type="dxa"/>
        <w:bottom w:w="0" w:type="dxa"/>
      </w:tblCellMar>
    </w:tblPr>
  </w:style>
  <w:style w:type="table" w:styleId="861" w:customStyle="1">
    <w:name w:val="Grid Table 7 Colorful - Accent 2"/>
    <w:basedOn w:val="731"/>
    <w:uiPriority w:val="99"/>
    <w:qFormat/>
    <w:tblPr>
      <w:tblCellMar>
        <w:left w:w="0" w:type="dxa"/>
        <w:top w:w="0" w:type="dxa"/>
        <w:right w:w="0" w:type="dxa"/>
        <w:bottom w:w="0" w:type="dxa"/>
      </w:tblCellMar>
    </w:tblPr>
  </w:style>
  <w:style w:type="table" w:styleId="862" w:customStyle="1">
    <w:name w:val="Grid Table 7 Colorful - Accent 3"/>
    <w:basedOn w:val="731"/>
    <w:uiPriority w:val="99"/>
    <w:qFormat/>
    <w:tblPr>
      <w:tblCellMar>
        <w:left w:w="0" w:type="dxa"/>
        <w:top w:w="0" w:type="dxa"/>
        <w:right w:w="0" w:type="dxa"/>
        <w:bottom w:w="0" w:type="dxa"/>
      </w:tblCellMar>
    </w:tblPr>
  </w:style>
  <w:style w:type="table" w:styleId="863" w:customStyle="1">
    <w:name w:val="Grid Table 7 Colorful - Accent 4"/>
    <w:basedOn w:val="731"/>
    <w:uiPriority w:val="99"/>
    <w:qFormat/>
    <w:tblPr>
      <w:tblCellMar>
        <w:left w:w="0" w:type="dxa"/>
        <w:top w:w="0" w:type="dxa"/>
        <w:right w:w="0" w:type="dxa"/>
        <w:bottom w:w="0" w:type="dxa"/>
      </w:tblCellMar>
    </w:tblPr>
  </w:style>
  <w:style w:type="table" w:styleId="864" w:customStyle="1">
    <w:name w:val="Grid Table 7 Colorful - Accent 5"/>
    <w:basedOn w:val="731"/>
    <w:uiPriority w:val="99"/>
    <w:qFormat/>
    <w:tblPr>
      <w:tblCellMar>
        <w:left w:w="0" w:type="dxa"/>
        <w:top w:w="0" w:type="dxa"/>
        <w:right w:w="0" w:type="dxa"/>
        <w:bottom w:w="0" w:type="dxa"/>
      </w:tblCellMar>
    </w:tblPr>
  </w:style>
  <w:style w:type="table" w:styleId="865" w:customStyle="1">
    <w:name w:val="Grid Table 7 Colorful - Accent 6"/>
    <w:basedOn w:val="731"/>
    <w:uiPriority w:val="99"/>
    <w:qFormat/>
    <w:tblPr>
      <w:tblCellMar>
        <w:left w:w="0" w:type="dxa"/>
        <w:top w:w="0" w:type="dxa"/>
        <w:right w:w="0" w:type="dxa"/>
        <w:bottom w:w="0" w:type="dxa"/>
      </w:tblCellMar>
    </w:tblPr>
  </w:style>
  <w:style w:type="table" w:styleId="866" w:customStyle="1">
    <w:name w:val="List Table 1 Light"/>
    <w:basedOn w:val="731"/>
    <w:uiPriority w:val="99"/>
    <w:qFormat/>
    <w:tblPr>
      <w:tblCellMar>
        <w:left w:w="0" w:type="dxa"/>
        <w:top w:w="0" w:type="dxa"/>
        <w:right w:w="0" w:type="dxa"/>
        <w:bottom w:w="0" w:type="dxa"/>
      </w:tblCellMar>
    </w:tblPr>
  </w:style>
  <w:style w:type="table" w:styleId="867" w:customStyle="1">
    <w:name w:val="List Table 1 Light - Accent 1"/>
    <w:basedOn w:val="731"/>
    <w:uiPriority w:val="99"/>
    <w:qFormat/>
    <w:tblPr>
      <w:tblCellMar>
        <w:left w:w="0" w:type="dxa"/>
        <w:top w:w="0" w:type="dxa"/>
        <w:right w:w="0" w:type="dxa"/>
        <w:bottom w:w="0" w:type="dxa"/>
      </w:tblCellMar>
    </w:tblPr>
  </w:style>
  <w:style w:type="table" w:styleId="868" w:customStyle="1">
    <w:name w:val="List Table 1 Light - Accent 2"/>
    <w:basedOn w:val="731"/>
    <w:uiPriority w:val="99"/>
    <w:qFormat/>
    <w:tblPr>
      <w:tblCellMar>
        <w:left w:w="0" w:type="dxa"/>
        <w:top w:w="0" w:type="dxa"/>
        <w:right w:w="0" w:type="dxa"/>
        <w:bottom w:w="0" w:type="dxa"/>
      </w:tblCellMar>
    </w:tblPr>
  </w:style>
  <w:style w:type="table" w:styleId="869" w:customStyle="1">
    <w:name w:val="List Table 1 Light - Accent 3"/>
    <w:basedOn w:val="731"/>
    <w:uiPriority w:val="99"/>
    <w:qFormat/>
    <w:tblPr>
      <w:tblCellMar>
        <w:left w:w="0" w:type="dxa"/>
        <w:top w:w="0" w:type="dxa"/>
        <w:right w:w="0" w:type="dxa"/>
        <w:bottom w:w="0" w:type="dxa"/>
      </w:tblCellMar>
    </w:tblPr>
  </w:style>
  <w:style w:type="table" w:styleId="870" w:customStyle="1">
    <w:name w:val="List Table 1 Light - Accent 4"/>
    <w:basedOn w:val="731"/>
    <w:uiPriority w:val="99"/>
    <w:qFormat/>
    <w:tblPr>
      <w:tblCellMar>
        <w:left w:w="0" w:type="dxa"/>
        <w:top w:w="0" w:type="dxa"/>
        <w:right w:w="0" w:type="dxa"/>
        <w:bottom w:w="0" w:type="dxa"/>
      </w:tblCellMar>
    </w:tblPr>
  </w:style>
  <w:style w:type="table" w:styleId="871" w:customStyle="1">
    <w:name w:val="List Table 1 Light - Accent 5"/>
    <w:basedOn w:val="731"/>
    <w:uiPriority w:val="99"/>
    <w:qFormat/>
    <w:tblPr>
      <w:tblCellMar>
        <w:left w:w="0" w:type="dxa"/>
        <w:top w:w="0" w:type="dxa"/>
        <w:right w:w="0" w:type="dxa"/>
        <w:bottom w:w="0" w:type="dxa"/>
      </w:tblCellMar>
    </w:tblPr>
  </w:style>
  <w:style w:type="table" w:styleId="872" w:customStyle="1">
    <w:name w:val="List Table 1 Light - Accent 6"/>
    <w:basedOn w:val="731"/>
    <w:uiPriority w:val="99"/>
    <w:qFormat/>
    <w:tblPr>
      <w:tblCellMar>
        <w:left w:w="0" w:type="dxa"/>
        <w:top w:w="0" w:type="dxa"/>
        <w:right w:w="0" w:type="dxa"/>
        <w:bottom w:w="0" w:type="dxa"/>
      </w:tblCellMar>
    </w:tblPr>
  </w:style>
  <w:style w:type="table" w:styleId="873" w:customStyle="1">
    <w:name w:val="List Table 2"/>
    <w:basedOn w:val="731"/>
    <w:uiPriority w:val="99"/>
    <w:qFormat/>
    <w:tblPr>
      <w:tblCellMar>
        <w:left w:w="0" w:type="dxa"/>
        <w:top w:w="0" w:type="dxa"/>
        <w:right w:w="0" w:type="dxa"/>
        <w:bottom w:w="0" w:type="dxa"/>
      </w:tblCellMar>
    </w:tblPr>
  </w:style>
  <w:style w:type="table" w:styleId="874" w:customStyle="1">
    <w:name w:val="List Table 2 - Accent 1"/>
    <w:basedOn w:val="731"/>
    <w:uiPriority w:val="99"/>
    <w:qFormat/>
    <w:tblPr>
      <w:tblCellMar>
        <w:left w:w="0" w:type="dxa"/>
        <w:top w:w="0" w:type="dxa"/>
        <w:right w:w="0" w:type="dxa"/>
        <w:bottom w:w="0" w:type="dxa"/>
      </w:tblCellMar>
    </w:tblPr>
  </w:style>
  <w:style w:type="table" w:styleId="875" w:customStyle="1">
    <w:name w:val="List Table 2 - Accent 2"/>
    <w:basedOn w:val="731"/>
    <w:uiPriority w:val="99"/>
    <w:qFormat/>
    <w:tblPr>
      <w:tblCellMar>
        <w:left w:w="0" w:type="dxa"/>
        <w:top w:w="0" w:type="dxa"/>
        <w:right w:w="0" w:type="dxa"/>
        <w:bottom w:w="0" w:type="dxa"/>
      </w:tblCellMar>
    </w:tblPr>
  </w:style>
  <w:style w:type="table" w:styleId="876" w:customStyle="1">
    <w:name w:val="List Table 2 - Accent 3"/>
    <w:basedOn w:val="731"/>
    <w:uiPriority w:val="99"/>
    <w:qFormat/>
    <w:tblPr>
      <w:tblCellMar>
        <w:left w:w="0" w:type="dxa"/>
        <w:top w:w="0" w:type="dxa"/>
        <w:right w:w="0" w:type="dxa"/>
        <w:bottom w:w="0" w:type="dxa"/>
      </w:tblCellMar>
    </w:tblPr>
  </w:style>
  <w:style w:type="table" w:styleId="877" w:customStyle="1">
    <w:name w:val="List Table 2 - Accent 4"/>
    <w:basedOn w:val="731"/>
    <w:uiPriority w:val="99"/>
    <w:qFormat/>
    <w:tblPr>
      <w:tblCellMar>
        <w:left w:w="0" w:type="dxa"/>
        <w:top w:w="0" w:type="dxa"/>
        <w:right w:w="0" w:type="dxa"/>
        <w:bottom w:w="0" w:type="dxa"/>
      </w:tblCellMar>
    </w:tblPr>
  </w:style>
  <w:style w:type="table" w:styleId="878" w:customStyle="1">
    <w:name w:val="List Table 2 - Accent 5"/>
    <w:basedOn w:val="731"/>
    <w:uiPriority w:val="99"/>
    <w:qFormat/>
    <w:tblPr>
      <w:tblCellMar>
        <w:left w:w="0" w:type="dxa"/>
        <w:top w:w="0" w:type="dxa"/>
        <w:right w:w="0" w:type="dxa"/>
        <w:bottom w:w="0" w:type="dxa"/>
      </w:tblCellMar>
    </w:tblPr>
  </w:style>
  <w:style w:type="table" w:styleId="879" w:customStyle="1">
    <w:name w:val="List Table 2 - Accent 6"/>
    <w:basedOn w:val="731"/>
    <w:uiPriority w:val="99"/>
    <w:qFormat/>
    <w:tblPr>
      <w:tblCellMar>
        <w:left w:w="0" w:type="dxa"/>
        <w:top w:w="0" w:type="dxa"/>
        <w:right w:w="0" w:type="dxa"/>
        <w:bottom w:w="0" w:type="dxa"/>
      </w:tblCellMar>
    </w:tblPr>
  </w:style>
  <w:style w:type="table" w:styleId="880" w:customStyle="1">
    <w:name w:val="List Table 3"/>
    <w:basedOn w:val="731"/>
    <w:uiPriority w:val="99"/>
    <w:qFormat/>
    <w:tblPr>
      <w:tblCellMar>
        <w:left w:w="0" w:type="dxa"/>
        <w:top w:w="0" w:type="dxa"/>
        <w:right w:w="0" w:type="dxa"/>
        <w:bottom w:w="0" w:type="dxa"/>
      </w:tblCellMar>
    </w:tblPr>
  </w:style>
  <w:style w:type="table" w:styleId="881" w:customStyle="1">
    <w:name w:val="List Table 3 - Accent 1"/>
    <w:basedOn w:val="731"/>
    <w:uiPriority w:val="99"/>
    <w:qFormat/>
    <w:tblPr>
      <w:tblCellMar>
        <w:left w:w="0" w:type="dxa"/>
        <w:top w:w="0" w:type="dxa"/>
        <w:right w:w="0" w:type="dxa"/>
        <w:bottom w:w="0" w:type="dxa"/>
      </w:tblCellMar>
    </w:tblPr>
  </w:style>
  <w:style w:type="table" w:styleId="882" w:customStyle="1">
    <w:name w:val="List Table 3 - Accent 2"/>
    <w:basedOn w:val="731"/>
    <w:uiPriority w:val="99"/>
    <w:qFormat/>
    <w:tblPr>
      <w:tblCellMar>
        <w:left w:w="0" w:type="dxa"/>
        <w:top w:w="0" w:type="dxa"/>
        <w:right w:w="0" w:type="dxa"/>
        <w:bottom w:w="0" w:type="dxa"/>
      </w:tblCellMar>
    </w:tblPr>
  </w:style>
  <w:style w:type="table" w:styleId="883" w:customStyle="1">
    <w:name w:val="List Table 3 - Accent 3"/>
    <w:basedOn w:val="731"/>
    <w:uiPriority w:val="99"/>
    <w:qFormat/>
    <w:tblPr>
      <w:tblCellMar>
        <w:left w:w="0" w:type="dxa"/>
        <w:top w:w="0" w:type="dxa"/>
        <w:right w:w="0" w:type="dxa"/>
        <w:bottom w:w="0" w:type="dxa"/>
      </w:tblCellMar>
    </w:tblPr>
  </w:style>
  <w:style w:type="table" w:styleId="884" w:customStyle="1">
    <w:name w:val="List Table 3 - Accent 4"/>
    <w:basedOn w:val="731"/>
    <w:uiPriority w:val="99"/>
    <w:qFormat/>
    <w:tblPr>
      <w:tblCellMar>
        <w:left w:w="0" w:type="dxa"/>
        <w:top w:w="0" w:type="dxa"/>
        <w:right w:w="0" w:type="dxa"/>
        <w:bottom w:w="0" w:type="dxa"/>
      </w:tblCellMar>
    </w:tblPr>
  </w:style>
  <w:style w:type="table" w:styleId="885" w:customStyle="1">
    <w:name w:val="List Table 3 - Accent 5"/>
    <w:basedOn w:val="731"/>
    <w:uiPriority w:val="99"/>
    <w:qFormat/>
    <w:tblPr>
      <w:tblCellMar>
        <w:left w:w="0" w:type="dxa"/>
        <w:top w:w="0" w:type="dxa"/>
        <w:right w:w="0" w:type="dxa"/>
        <w:bottom w:w="0" w:type="dxa"/>
      </w:tblCellMar>
    </w:tblPr>
  </w:style>
  <w:style w:type="table" w:styleId="886" w:customStyle="1">
    <w:name w:val="List Table 3 - Accent 6"/>
    <w:basedOn w:val="731"/>
    <w:uiPriority w:val="99"/>
    <w:qFormat/>
    <w:tblPr>
      <w:tblCellMar>
        <w:left w:w="0" w:type="dxa"/>
        <w:top w:w="0" w:type="dxa"/>
        <w:right w:w="0" w:type="dxa"/>
        <w:bottom w:w="0" w:type="dxa"/>
      </w:tblCellMar>
    </w:tblPr>
  </w:style>
  <w:style w:type="table" w:styleId="887" w:customStyle="1">
    <w:name w:val="List Table 4"/>
    <w:basedOn w:val="731"/>
    <w:uiPriority w:val="99"/>
    <w:qFormat/>
    <w:tblPr>
      <w:tblCellMar>
        <w:left w:w="0" w:type="dxa"/>
        <w:top w:w="0" w:type="dxa"/>
        <w:right w:w="0" w:type="dxa"/>
        <w:bottom w:w="0" w:type="dxa"/>
      </w:tblCellMar>
    </w:tblPr>
  </w:style>
  <w:style w:type="table" w:styleId="888" w:customStyle="1">
    <w:name w:val="List Table 4 - Accent 1"/>
    <w:basedOn w:val="731"/>
    <w:uiPriority w:val="99"/>
    <w:qFormat/>
    <w:tblPr>
      <w:tblCellMar>
        <w:left w:w="0" w:type="dxa"/>
        <w:top w:w="0" w:type="dxa"/>
        <w:right w:w="0" w:type="dxa"/>
        <w:bottom w:w="0" w:type="dxa"/>
      </w:tblCellMar>
    </w:tblPr>
  </w:style>
  <w:style w:type="table" w:styleId="889" w:customStyle="1">
    <w:name w:val="List Table 4 - Accent 2"/>
    <w:basedOn w:val="731"/>
    <w:uiPriority w:val="99"/>
    <w:qFormat/>
    <w:tblPr>
      <w:tblCellMar>
        <w:left w:w="0" w:type="dxa"/>
        <w:top w:w="0" w:type="dxa"/>
        <w:right w:w="0" w:type="dxa"/>
        <w:bottom w:w="0" w:type="dxa"/>
      </w:tblCellMar>
    </w:tblPr>
  </w:style>
  <w:style w:type="table" w:styleId="890" w:customStyle="1">
    <w:name w:val="List Table 4 - Accent 3"/>
    <w:basedOn w:val="731"/>
    <w:uiPriority w:val="99"/>
    <w:qFormat/>
    <w:tblPr>
      <w:tblCellMar>
        <w:left w:w="0" w:type="dxa"/>
        <w:top w:w="0" w:type="dxa"/>
        <w:right w:w="0" w:type="dxa"/>
        <w:bottom w:w="0" w:type="dxa"/>
      </w:tblCellMar>
    </w:tblPr>
  </w:style>
  <w:style w:type="table" w:styleId="891" w:customStyle="1">
    <w:name w:val="List Table 4 - Accent 4"/>
    <w:basedOn w:val="731"/>
    <w:uiPriority w:val="99"/>
    <w:qFormat/>
    <w:tblPr>
      <w:tblCellMar>
        <w:left w:w="0" w:type="dxa"/>
        <w:top w:w="0" w:type="dxa"/>
        <w:right w:w="0" w:type="dxa"/>
        <w:bottom w:w="0" w:type="dxa"/>
      </w:tblCellMar>
    </w:tblPr>
  </w:style>
  <w:style w:type="table" w:styleId="892" w:customStyle="1">
    <w:name w:val="List Table 4 - Accent 5"/>
    <w:basedOn w:val="731"/>
    <w:uiPriority w:val="99"/>
    <w:qFormat/>
    <w:tblPr>
      <w:tblCellMar>
        <w:left w:w="0" w:type="dxa"/>
        <w:top w:w="0" w:type="dxa"/>
        <w:right w:w="0" w:type="dxa"/>
        <w:bottom w:w="0" w:type="dxa"/>
      </w:tblCellMar>
    </w:tblPr>
  </w:style>
  <w:style w:type="table" w:styleId="893" w:customStyle="1">
    <w:name w:val="List Table 4 - Accent 6"/>
    <w:basedOn w:val="731"/>
    <w:uiPriority w:val="99"/>
    <w:qFormat/>
    <w:tblPr>
      <w:tblCellMar>
        <w:left w:w="0" w:type="dxa"/>
        <w:top w:w="0" w:type="dxa"/>
        <w:right w:w="0" w:type="dxa"/>
        <w:bottom w:w="0" w:type="dxa"/>
      </w:tblCellMar>
    </w:tblPr>
  </w:style>
  <w:style w:type="table" w:styleId="894" w:customStyle="1">
    <w:name w:val="List Table 5 Dark"/>
    <w:basedOn w:val="731"/>
    <w:uiPriority w:val="99"/>
    <w:qFormat/>
    <w:tblPr>
      <w:tblCellMar>
        <w:left w:w="0" w:type="dxa"/>
        <w:top w:w="0" w:type="dxa"/>
        <w:right w:w="0" w:type="dxa"/>
        <w:bottom w:w="0" w:type="dxa"/>
      </w:tblCellMar>
    </w:tblPr>
  </w:style>
  <w:style w:type="table" w:styleId="895" w:customStyle="1">
    <w:name w:val="List Table 5 Dark - Accent 1"/>
    <w:basedOn w:val="731"/>
    <w:uiPriority w:val="99"/>
    <w:qFormat/>
    <w:tblPr>
      <w:tblCellMar>
        <w:left w:w="0" w:type="dxa"/>
        <w:top w:w="0" w:type="dxa"/>
        <w:right w:w="0" w:type="dxa"/>
        <w:bottom w:w="0" w:type="dxa"/>
      </w:tblCellMar>
    </w:tblPr>
  </w:style>
  <w:style w:type="table" w:styleId="896" w:customStyle="1">
    <w:name w:val="List Table 5 Dark - Accent 2"/>
    <w:basedOn w:val="731"/>
    <w:uiPriority w:val="99"/>
    <w:qFormat/>
    <w:tblPr>
      <w:tblCellMar>
        <w:left w:w="0" w:type="dxa"/>
        <w:top w:w="0" w:type="dxa"/>
        <w:right w:w="0" w:type="dxa"/>
        <w:bottom w:w="0" w:type="dxa"/>
      </w:tblCellMar>
    </w:tblPr>
  </w:style>
  <w:style w:type="table" w:styleId="897" w:customStyle="1">
    <w:name w:val="List Table 5 Dark - Accent 3"/>
    <w:basedOn w:val="731"/>
    <w:uiPriority w:val="99"/>
    <w:qFormat/>
    <w:tblPr>
      <w:tblCellMar>
        <w:left w:w="0" w:type="dxa"/>
        <w:top w:w="0" w:type="dxa"/>
        <w:right w:w="0" w:type="dxa"/>
        <w:bottom w:w="0" w:type="dxa"/>
      </w:tblCellMar>
    </w:tblPr>
  </w:style>
  <w:style w:type="table" w:styleId="898" w:customStyle="1">
    <w:name w:val="List Table 5 Dark - Accent 4"/>
    <w:basedOn w:val="731"/>
    <w:uiPriority w:val="99"/>
    <w:qFormat/>
    <w:tblPr>
      <w:tblCellMar>
        <w:left w:w="0" w:type="dxa"/>
        <w:top w:w="0" w:type="dxa"/>
        <w:right w:w="0" w:type="dxa"/>
        <w:bottom w:w="0" w:type="dxa"/>
      </w:tblCellMar>
    </w:tblPr>
  </w:style>
  <w:style w:type="table" w:styleId="899" w:customStyle="1">
    <w:name w:val="List Table 5 Dark - Accent 5"/>
    <w:basedOn w:val="731"/>
    <w:uiPriority w:val="99"/>
    <w:qFormat/>
    <w:tblPr>
      <w:tblCellMar>
        <w:left w:w="0" w:type="dxa"/>
        <w:top w:w="0" w:type="dxa"/>
        <w:right w:w="0" w:type="dxa"/>
        <w:bottom w:w="0" w:type="dxa"/>
      </w:tblCellMar>
    </w:tblPr>
  </w:style>
  <w:style w:type="table" w:styleId="900" w:customStyle="1">
    <w:name w:val="List Table 5 Dark - Accent 6"/>
    <w:basedOn w:val="731"/>
    <w:uiPriority w:val="99"/>
    <w:qFormat/>
    <w:tblPr>
      <w:tblCellMar>
        <w:left w:w="0" w:type="dxa"/>
        <w:top w:w="0" w:type="dxa"/>
        <w:right w:w="0" w:type="dxa"/>
        <w:bottom w:w="0" w:type="dxa"/>
      </w:tblCellMar>
    </w:tblPr>
  </w:style>
  <w:style w:type="table" w:styleId="901" w:customStyle="1">
    <w:name w:val="List Table 6 Colorful"/>
    <w:basedOn w:val="731"/>
    <w:uiPriority w:val="99"/>
    <w:qFormat/>
    <w:tblPr>
      <w:tblCellMar>
        <w:left w:w="0" w:type="dxa"/>
        <w:top w:w="0" w:type="dxa"/>
        <w:right w:w="0" w:type="dxa"/>
        <w:bottom w:w="0" w:type="dxa"/>
      </w:tblCellMar>
    </w:tblPr>
  </w:style>
  <w:style w:type="table" w:styleId="902" w:customStyle="1">
    <w:name w:val="List Table 6 Colorful - Accent 1"/>
    <w:basedOn w:val="731"/>
    <w:uiPriority w:val="99"/>
    <w:qFormat/>
    <w:tblPr>
      <w:tblCellMar>
        <w:left w:w="0" w:type="dxa"/>
        <w:top w:w="0" w:type="dxa"/>
        <w:right w:w="0" w:type="dxa"/>
        <w:bottom w:w="0" w:type="dxa"/>
      </w:tblCellMar>
    </w:tblPr>
  </w:style>
  <w:style w:type="table" w:styleId="903" w:customStyle="1">
    <w:name w:val="List Table 6 Colorful - Accent 2"/>
    <w:basedOn w:val="731"/>
    <w:uiPriority w:val="99"/>
    <w:qFormat/>
    <w:tblPr>
      <w:tblCellMar>
        <w:left w:w="0" w:type="dxa"/>
        <w:top w:w="0" w:type="dxa"/>
        <w:right w:w="0" w:type="dxa"/>
        <w:bottom w:w="0" w:type="dxa"/>
      </w:tblCellMar>
    </w:tblPr>
  </w:style>
  <w:style w:type="table" w:styleId="904" w:customStyle="1">
    <w:name w:val="List Table 6 Colorful - Accent 3"/>
    <w:basedOn w:val="731"/>
    <w:uiPriority w:val="99"/>
    <w:qFormat/>
    <w:tblPr>
      <w:tblCellMar>
        <w:left w:w="0" w:type="dxa"/>
        <w:top w:w="0" w:type="dxa"/>
        <w:right w:w="0" w:type="dxa"/>
        <w:bottom w:w="0" w:type="dxa"/>
      </w:tblCellMar>
    </w:tblPr>
  </w:style>
  <w:style w:type="table" w:styleId="905" w:customStyle="1">
    <w:name w:val="List Table 6 Colorful - Accent 4"/>
    <w:basedOn w:val="731"/>
    <w:uiPriority w:val="99"/>
    <w:qFormat/>
    <w:tblPr>
      <w:tblCellMar>
        <w:left w:w="0" w:type="dxa"/>
        <w:top w:w="0" w:type="dxa"/>
        <w:right w:w="0" w:type="dxa"/>
        <w:bottom w:w="0" w:type="dxa"/>
      </w:tblCellMar>
    </w:tblPr>
  </w:style>
  <w:style w:type="table" w:styleId="906" w:customStyle="1">
    <w:name w:val="List Table 6 Colorful - Accent 5"/>
    <w:basedOn w:val="731"/>
    <w:uiPriority w:val="99"/>
    <w:qFormat/>
    <w:tblPr>
      <w:tblCellMar>
        <w:left w:w="0" w:type="dxa"/>
        <w:top w:w="0" w:type="dxa"/>
        <w:right w:w="0" w:type="dxa"/>
        <w:bottom w:w="0" w:type="dxa"/>
      </w:tblCellMar>
    </w:tblPr>
  </w:style>
  <w:style w:type="table" w:styleId="907" w:customStyle="1">
    <w:name w:val="List Table 6 Colorful - Accent 6"/>
    <w:basedOn w:val="731"/>
    <w:uiPriority w:val="99"/>
    <w:qFormat/>
    <w:tblPr>
      <w:tblCellMar>
        <w:left w:w="0" w:type="dxa"/>
        <w:top w:w="0" w:type="dxa"/>
        <w:right w:w="0" w:type="dxa"/>
        <w:bottom w:w="0" w:type="dxa"/>
      </w:tblCellMar>
    </w:tblPr>
  </w:style>
  <w:style w:type="table" w:styleId="908" w:customStyle="1">
    <w:name w:val="List Table 7 Colorful"/>
    <w:basedOn w:val="731"/>
    <w:uiPriority w:val="99"/>
    <w:qFormat/>
    <w:tblPr>
      <w:tblCellMar>
        <w:left w:w="0" w:type="dxa"/>
        <w:top w:w="0" w:type="dxa"/>
        <w:right w:w="0" w:type="dxa"/>
        <w:bottom w:w="0" w:type="dxa"/>
      </w:tblCellMar>
    </w:tblPr>
  </w:style>
  <w:style w:type="table" w:styleId="909" w:customStyle="1">
    <w:name w:val="List Table 7 Colorful - Accent 1"/>
    <w:basedOn w:val="731"/>
    <w:uiPriority w:val="99"/>
    <w:qFormat/>
    <w:tblPr>
      <w:tblCellMar>
        <w:left w:w="0" w:type="dxa"/>
        <w:top w:w="0" w:type="dxa"/>
        <w:right w:w="0" w:type="dxa"/>
        <w:bottom w:w="0" w:type="dxa"/>
      </w:tblCellMar>
    </w:tblPr>
  </w:style>
  <w:style w:type="table" w:styleId="910" w:customStyle="1">
    <w:name w:val="List Table 7 Colorful - Accent 2"/>
    <w:basedOn w:val="731"/>
    <w:uiPriority w:val="99"/>
    <w:qFormat/>
    <w:tblPr>
      <w:tblCellMar>
        <w:left w:w="0" w:type="dxa"/>
        <w:top w:w="0" w:type="dxa"/>
        <w:right w:w="0" w:type="dxa"/>
        <w:bottom w:w="0" w:type="dxa"/>
      </w:tblCellMar>
    </w:tblPr>
  </w:style>
  <w:style w:type="table" w:styleId="911" w:customStyle="1">
    <w:name w:val="List Table 7 Colorful - Accent 3"/>
    <w:basedOn w:val="731"/>
    <w:uiPriority w:val="99"/>
    <w:qFormat/>
    <w:tblPr>
      <w:tblCellMar>
        <w:left w:w="0" w:type="dxa"/>
        <w:top w:w="0" w:type="dxa"/>
        <w:right w:w="0" w:type="dxa"/>
        <w:bottom w:w="0" w:type="dxa"/>
      </w:tblCellMar>
    </w:tblPr>
  </w:style>
  <w:style w:type="table" w:styleId="912" w:customStyle="1">
    <w:name w:val="List Table 7 Colorful - Accent 4"/>
    <w:basedOn w:val="731"/>
    <w:uiPriority w:val="99"/>
    <w:qFormat/>
    <w:tblPr>
      <w:tblCellMar>
        <w:left w:w="0" w:type="dxa"/>
        <w:top w:w="0" w:type="dxa"/>
        <w:right w:w="0" w:type="dxa"/>
        <w:bottom w:w="0" w:type="dxa"/>
      </w:tblCellMar>
    </w:tblPr>
  </w:style>
  <w:style w:type="table" w:styleId="913" w:customStyle="1">
    <w:name w:val="List Table 7 Colorful - Accent 5"/>
    <w:basedOn w:val="731"/>
    <w:uiPriority w:val="99"/>
    <w:qFormat/>
    <w:tblPr>
      <w:tblCellMar>
        <w:left w:w="0" w:type="dxa"/>
        <w:top w:w="0" w:type="dxa"/>
        <w:right w:w="0" w:type="dxa"/>
        <w:bottom w:w="0" w:type="dxa"/>
      </w:tblCellMar>
    </w:tblPr>
  </w:style>
  <w:style w:type="table" w:styleId="914" w:customStyle="1">
    <w:name w:val="List Table 7 Colorful - Accent 6"/>
    <w:basedOn w:val="731"/>
    <w:uiPriority w:val="99"/>
    <w:qFormat/>
    <w:tblPr>
      <w:tblCellMar>
        <w:left w:w="0" w:type="dxa"/>
        <w:top w:w="0" w:type="dxa"/>
        <w:right w:w="0" w:type="dxa"/>
        <w:bottom w:w="0" w:type="dxa"/>
      </w:tblCellMar>
    </w:tblPr>
  </w:style>
  <w:style w:type="table" w:styleId="915" w:customStyle="1">
    <w:name w:val="Lined - Accent"/>
    <w:basedOn w:val="731"/>
    <w:uiPriority w:val="99"/>
    <w:qFormat/>
    <w:rPr>
      <w:color w:val="404040"/>
    </w:rPr>
    <w:tblPr>
      <w:tblCellMar>
        <w:left w:w="0" w:type="dxa"/>
        <w:top w:w="0" w:type="dxa"/>
        <w:right w:w="0" w:type="dxa"/>
        <w:bottom w:w="0" w:type="dxa"/>
      </w:tblCellMar>
    </w:tblPr>
  </w:style>
  <w:style w:type="table" w:styleId="916" w:customStyle="1">
    <w:name w:val="Lined - Accent 1"/>
    <w:basedOn w:val="731"/>
    <w:uiPriority w:val="99"/>
    <w:qFormat/>
    <w:rPr>
      <w:color w:val="404040"/>
    </w:rPr>
    <w:tblPr>
      <w:tblCellMar>
        <w:left w:w="0" w:type="dxa"/>
        <w:top w:w="0" w:type="dxa"/>
        <w:right w:w="0" w:type="dxa"/>
        <w:bottom w:w="0" w:type="dxa"/>
      </w:tblCellMar>
    </w:tblPr>
  </w:style>
  <w:style w:type="table" w:styleId="917" w:customStyle="1">
    <w:name w:val="Lined - Accent 2"/>
    <w:basedOn w:val="731"/>
    <w:uiPriority w:val="99"/>
    <w:qFormat/>
    <w:rPr>
      <w:color w:val="404040"/>
    </w:rPr>
    <w:tblPr>
      <w:tblCellMar>
        <w:left w:w="0" w:type="dxa"/>
        <w:top w:w="0" w:type="dxa"/>
        <w:right w:w="0" w:type="dxa"/>
        <w:bottom w:w="0" w:type="dxa"/>
      </w:tblCellMar>
    </w:tblPr>
  </w:style>
  <w:style w:type="table" w:styleId="918" w:customStyle="1">
    <w:name w:val="Lined - Accent 3"/>
    <w:basedOn w:val="731"/>
    <w:uiPriority w:val="99"/>
    <w:qFormat/>
    <w:rPr>
      <w:color w:val="404040"/>
    </w:rPr>
    <w:tblPr>
      <w:tblCellMar>
        <w:left w:w="0" w:type="dxa"/>
        <w:top w:w="0" w:type="dxa"/>
        <w:right w:w="0" w:type="dxa"/>
        <w:bottom w:w="0" w:type="dxa"/>
      </w:tblCellMar>
    </w:tblPr>
  </w:style>
  <w:style w:type="table" w:styleId="919" w:customStyle="1">
    <w:name w:val="Lined - Accent 4"/>
    <w:basedOn w:val="731"/>
    <w:uiPriority w:val="99"/>
    <w:qFormat/>
    <w:rPr>
      <w:color w:val="404040"/>
    </w:rPr>
    <w:tblPr>
      <w:tblCellMar>
        <w:left w:w="0" w:type="dxa"/>
        <w:top w:w="0" w:type="dxa"/>
        <w:right w:w="0" w:type="dxa"/>
        <w:bottom w:w="0" w:type="dxa"/>
      </w:tblCellMar>
    </w:tblPr>
  </w:style>
  <w:style w:type="table" w:styleId="920" w:customStyle="1">
    <w:name w:val="Lined - Accent 5"/>
    <w:basedOn w:val="731"/>
    <w:uiPriority w:val="99"/>
    <w:qFormat/>
    <w:rPr>
      <w:color w:val="404040"/>
    </w:rPr>
    <w:tblPr>
      <w:tblCellMar>
        <w:left w:w="0" w:type="dxa"/>
        <w:top w:w="0" w:type="dxa"/>
        <w:right w:w="0" w:type="dxa"/>
        <w:bottom w:w="0" w:type="dxa"/>
      </w:tblCellMar>
    </w:tblPr>
  </w:style>
  <w:style w:type="table" w:styleId="921" w:customStyle="1">
    <w:name w:val="Lined - Accent 6"/>
    <w:basedOn w:val="731"/>
    <w:uiPriority w:val="99"/>
    <w:qFormat/>
    <w:rPr>
      <w:color w:val="404040"/>
    </w:rPr>
    <w:tblPr>
      <w:tblCellMar>
        <w:left w:w="0" w:type="dxa"/>
        <w:top w:w="0" w:type="dxa"/>
        <w:right w:w="0" w:type="dxa"/>
        <w:bottom w:w="0" w:type="dxa"/>
      </w:tblCellMar>
    </w:tblPr>
  </w:style>
  <w:style w:type="table" w:styleId="922" w:customStyle="1">
    <w:name w:val="Bordered &amp; Lined - Accent"/>
    <w:basedOn w:val="731"/>
    <w:uiPriority w:val="99"/>
    <w:qFormat/>
    <w:rPr>
      <w:color w:val="404040"/>
    </w:rPr>
    <w:tblPr>
      <w:tblCellMar>
        <w:left w:w="0" w:type="dxa"/>
        <w:top w:w="0" w:type="dxa"/>
        <w:right w:w="0" w:type="dxa"/>
        <w:bottom w:w="0" w:type="dxa"/>
      </w:tblCellMar>
    </w:tblPr>
  </w:style>
  <w:style w:type="table" w:styleId="923" w:customStyle="1">
    <w:name w:val="Bordered &amp; Lined - Accent 1"/>
    <w:basedOn w:val="731"/>
    <w:uiPriority w:val="99"/>
    <w:qFormat/>
    <w:rPr>
      <w:color w:val="404040"/>
    </w:rPr>
    <w:tblPr>
      <w:tblCellMar>
        <w:left w:w="0" w:type="dxa"/>
        <w:top w:w="0" w:type="dxa"/>
        <w:right w:w="0" w:type="dxa"/>
        <w:bottom w:w="0" w:type="dxa"/>
      </w:tblCellMar>
    </w:tblPr>
  </w:style>
  <w:style w:type="table" w:styleId="924" w:customStyle="1">
    <w:name w:val="Bordered &amp; Lined - Accent 2"/>
    <w:basedOn w:val="731"/>
    <w:uiPriority w:val="99"/>
    <w:qFormat/>
    <w:rPr>
      <w:color w:val="404040"/>
    </w:rPr>
    <w:tblPr>
      <w:tblCellMar>
        <w:left w:w="0" w:type="dxa"/>
        <w:top w:w="0" w:type="dxa"/>
        <w:right w:w="0" w:type="dxa"/>
        <w:bottom w:w="0" w:type="dxa"/>
      </w:tblCellMar>
    </w:tblPr>
  </w:style>
  <w:style w:type="table" w:styleId="925" w:customStyle="1">
    <w:name w:val="Bordered &amp; Lined - Accent 3"/>
    <w:basedOn w:val="731"/>
    <w:uiPriority w:val="99"/>
    <w:qFormat/>
    <w:rPr>
      <w:color w:val="404040"/>
    </w:rPr>
    <w:tblPr>
      <w:tblCellMar>
        <w:left w:w="0" w:type="dxa"/>
        <w:top w:w="0" w:type="dxa"/>
        <w:right w:w="0" w:type="dxa"/>
        <w:bottom w:w="0" w:type="dxa"/>
      </w:tblCellMar>
    </w:tblPr>
  </w:style>
  <w:style w:type="table" w:styleId="926" w:customStyle="1">
    <w:name w:val="Bordered &amp; Lined - Accent 4"/>
    <w:basedOn w:val="731"/>
    <w:uiPriority w:val="99"/>
    <w:qFormat/>
    <w:rPr>
      <w:color w:val="404040"/>
    </w:rPr>
    <w:tblPr>
      <w:tblCellMar>
        <w:left w:w="0" w:type="dxa"/>
        <w:top w:w="0" w:type="dxa"/>
        <w:right w:w="0" w:type="dxa"/>
        <w:bottom w:w="0" w:type="dxa"/>
      </w:tblCellMar>
    </w:tblPr>
  </w:style>
  <w:style w:type="table" w:styleId="927" w:customStyle="1">
    <w:name w:val="Bordered &amp; Lined - Accent 5"/>
    <w:basedOn w:val="731"/>
    <w:uiPriority w:val="99"/>
    <w:qFormat/>
    <w:rPr>
      <w:color w:val="404040"/>
    </w:rPr>
    <w:tblPr>
      <w:tblCellMar>
        <w:left w:w="0" w:type="dxa"/>
        <w:top w:w="0" w:type="dxa"/>
        <w:right w:w="0" w:type="dxa"/>
        <w:bottom w:w="0" w:type="dxa"/>
      </w:tblCellMar>
    </w:tblPr>
  </w:style>
  <w:style w:type="table" w:styleId="928" w:customStyle="1">
    <w:name w:val="Bordered &amp; Lined - Accent 6"/>
    <w:basedOn w:val="731"/>
    <w:uiPriority w:val="99"/>
    <w:qFormat/>
    <w:rPr>
      <w:color w:val="404040"/>
    </w:rPr>
    <w:tblPr>
      <w:tblCellMar>
        <w:left w:w="0" w:type="dxa"/>
        <w:top w:w="0" w:type="dxa"/>
        <w:right w:w="0" w:type="dxa"/>
        <w:bottom w:w="0" w:type="dxa"/>
      </w:tblCellMar>
    </w:tblPr>
  </w:style>
  <w:style w:type="table" w:styleId="929" w:customStyle="1">
    <w:name w:val="Bordered"/>
    <w:basedOn w:val="731"/>
    <w:uiPriority w:val="99"/>
    <w:qFormat/>
    <w:tblPr>
      <w:tblCellMar>
        <w:left w:w="0" w:type="dxa"/>
        <w:top w:w="0" w:type="dxa"/>
        <w:right w:w="0" w:type="dxa"/>
        <w:bottom w:w="0" w:type="dxa"/>
      </w:tblCellMar>
    </w:tblPr>
  </w:style>
  <w:style w:type="table" w:styleId="930" w:customStyle="1">
    <w:name w:val="Bordered - Accent 1"/>
    <w:basedOn w:val="731"/>
    <w:uiPriority w:val="99"/>
    <w:qFormat/>
    <w:tblPr>
      <w:tblCellMar>
        <w:left w:w="0" w:type="dxa"/>
        <w:top w:w="0" w:type="dxa"/>
        <w:right w:w="0" w:type="dxa"/>
        <w:bottom w:w="0" w:type="dxa"/>
      </w:tblCellMar>
    </w:tblPr>
  </w:style>
  <w:style w:type="table" w:styleId="931" w:customStyle="1">
    <w:name w:val="Bordered - Accent 2"/>
    <w:basedOn w:val="731"/>
    <w:uiPriority w:val="99"/>
    <w:qFormat/>
    <w:tblPr>
      <w:tblCellMar>
        <w:left w:w="0" w:type="dxa"/>
        <w:top w:w="0" w:type="dxa"/>
        <w:right w:w="0" w:type="dxa"/>
        <w:bottom w:w="0" w:type="dxa"/>
      </w:tblCellMar>
    </w:tblPr>
  </w:style>
  <w:style w:type="table" w:styleId="932" w:customStyle="1">
    <w:name w:val="Bordered - Accent 3"/>
    <w:basedOn w:val="731"/>
    <w:uiPriority w:val="99"/>
    <w:qFormat/>
    <w:tblPr>
      <w:tblCellMar>
        <w:left w:w="0" w:type="dxa"/>
        <w:top w:w="0" w:type="dxa"/>
        <w:right w:w="0" w:type="dxa"/>
        <w:bottom w:w="0" w:type="dxa"/>
      </w:tblCellMar>
    </w:tblPr>
  </w:style>
  <w:style w:type="table" w:styleId="933" w:customStyle="1">
    <w:name w:val="Bordered - Accent 4"/>
    <w:basedOn w:val="731"/>
    <w:uiPriority w:val="99"/>
    <w:qFormat/>
    <w:tblPr>
      <w:tblCellMar>
        <w:left w:w="0" w:type="dxa"/>
        <w:top w:w="0" w:type="dxa"/>
        <w:right w:w="0" w:type="dxa"/>
        <w:bottom w:w="0" w:type="dxa"/>
      </w:tblCellMar>
    </w:tblPr>
  </w:style>
  <w:style w:type="table" w:styleId="934" w:customStyle="1">
    <w:name w:val="Bordered - Accent 5"/>
    <w:basedOn w:val="731"/>
    <w:uiPriority w:val="99"/>
    <w:qFormat/>
    <w:tblPr>
      <w:tblCellMar>
        <w:left w:w="0" w:type="dxa"/>
        <w:top w:w="0" w:type="dxa"/>
        <w:right w:w="0" w:type="dxa"/>
        <w:bottom w:w="0" w:type="dxa"/>
      </w:tblCellMar>
    </w:tblPr>
  </w:style>
  <w:style w:type="table" w:styleId="935" w:customStyle="1">
    <w:name w:val="Bordered - Accent 6"/>
    <w:basedOn w:val="731"/>
    <w:uiPriority w:val="99"/>
    <w:qFormat/>
    <w:tblPr>
      <w:tblCellMar>
        <w:left w:w="0" w:type="dxa"/>
        <w:top w:w="0" w:type="dxa"/>
        <w:right w:w="0" w:type="dxa"/>
        <w:bottom w:w="0" w:type="dxa"/>
      </w:tblCellMar>
    </w:tblPr>
  </w:style>
  <w:style w:type="paragraph" w:styleId="936" w:customStyle="1">
    <w:name w:val="TOC 标题11"/>
    <w:uiPriority w:val="39"/>
    <w:unhideWhenUsed/>
    <w:qFormat/>
    <w:rPr>
      <w:rFonts w:ascii="Calibri" w:hAnsi="Calibri" w:eastAsia="宋体" w:cs="Arial"/>
      <w:sz w:val="21"/>
      <w:szCs w:val="22"/>
      <w:lang w:val="en-US" w:eastAsia="zh-CN" w:bidi="ar-SA"/>
    </w:rPr>
  </w:style>
  <w:style w:type="paragraph" w:styleId="937" w:customStyle="1">
    <w:name w:val="Default"/>
    <w:link w:val="938"/>
    <w:uiPriority w:val="99"/>
    <w:qFormat/>
    <w:pPr>
      <w:widowControl w:val="off"/>
    </w:pPr>
    <w:rPr>
      <w:rFonts w:ascii="MS Mincho" w:hAnsi="Calibri" w:eastAsia="宋体" w:cs="Times New Roman"/>
      <w:color w:val="000000"/>
      <w:sz w:val="21"/>
      <w:szCs w:val="24"/>
      <w:lang w:val="en-US" w:eastAsia="zh-CN" w:bidi="ar-SA"/>
    </w:rPr>
  </w:style>
  <w:style w:type="character" w:styleId="938" w:customStyle="1">
    <w:name w:val="Default Char"/>
    <w:link w:val="937"/>
    <w:uiPriority w:val="99"/>
    <w:qFormat/>
    <w:rPr>
      <w:rFonts w:ascii="MS Mincho" w:hAnsi="Calibri" w:eastAsia="宋体" w:cs="Times New Roman"/>
      <w:color w:val="000000"/>
      <w:szCs w:val="24"/>
    </w:rPr>
  </w:style>
  <w:style w:type="table" w:styleId="939" w:customStyle="1">
    <w:name w:val="Table Normal_0"/>
    <w:uiPriority w:val="0"/>
    <w:unhideWhenUsed/>
    <w:qFormat/>
    <w:tblPr>
      <w:tblCellMar>
        <w:left w:w="0" w:type="dxa"/>
        <w:top w:w="0" w:type="dxa"/>
        <w:right w:w="0" w:type="dxa"/>
        <w:bottom w:w="0" w:type="dxa"/>
      </w:tblCellMar>
    </w:tblPr>
  </w:style>
  <w:style w:type="table" w:styleId="940" w:customStyle="1">
    <w:name w:val="网格型1"/>
    <w:basedOn w:val="731"/>
    <w:uiPriority w:val="59"/>
    <w:qFormat/>
    <w:tblPr>
      <w:tblCellMar>
        <w:left w:w="0" w:type="dxa"/>
        <w:top w:w="0" w:type="dxa"/>
        <w:right w:w="0" w:type="dxa"/>
        <w:bottom w:w="0" w:type="dxa"/>
      </w:tblCellMar>
    </w:tblPr>
  </w:style>
  <w:style w:type="paragraph" w:styleId="941">
    <w:name w:val="List Paragraph"/>
    <w:basedOn w:val="689"/>
    <w:uiPriority w:val="34"/>
    <w:qFormat/>
    <w:pPr>
      <w:ind w:firstLine="420"/>
    </w:pPr>
    <w:rPr>
      <w:szCs w:val="24"/>
    </w:rPr>
  </w:style>
  <w:style w:type="paragraph" w:styleId="942" w:customStyle="1">
    <w:name w:val="彩色列表 - 强调文字颜色 11"/>
    <w:basedOn w:val="689"/>
    <w:uiPriority w:val="0"/>
    <w:qFormat/>
    <w:pPr>
      <w:ind w:firstLine="420"/>
      <w:spacing w:line="360" w:lineRule="atLeast"/>
    </w:pPr>
    <w:rPr>
      <w:rFonts w:ascii="Times New Roman" w:hAnsi="Times New Roman"/>
      <w:sz w:val="20"/>
      <w:szCs w:val="24"/>
    </w:rPr>
  </w:style>
  <w:style w:type="paragraph" w:styleId="943" w:customStyle="1">
    <w:name w:val="段落大意"/>
    <w:uiPriority w:val="0"/>
    <w:qFormat/>
    <w:pPr>
      <w:ind w:firstLine="200"/>
      <w:jc w:val="both"/>
      <w:spacing w:line="300" w:lineRule="auto"/>
    </w:pPr>
    <w:rPr>
      <w:rFonts w:ascii="方正中等线简体" w:hAnsi="方正中等线简体" w:eastAsia="方正中等线简体" w:cs="方正中等线简体"/>
      <w:sz w:val="21"/>
      <w:szCs w:val="22"/>
      <w:lang w:val="en-US" w:eastAsia="zh-CN" w:bidi="ar-SA"/>
    </w:rPr>
  </w:style>
  <w:style w:type="paragraph" w:styleId="944" w:customStyle="1">
    <w:name w:val="Table Text"/>
    <w:basedOn w:val="689"/>
    <w:uiPriority w:val="0"/>
    <w:semiHidden/>
    <w:qFormat/>
    <w:rPr>
      <w:rFonts w:ascii="宋体" w:hAnsi="宋体" w:cs="宋体"/>
      <w:sz w:val="24"/>
      <w:szCs w:val="24"/>
      <w:lang w:eastAsia="en-US"/>
    </w:rPr>
  </w:style>
  <w:style w:type="character" w:styleId="945" w:customStyle="1">
    <w:name w:val="NormalCharacter1"/>
    <w:link w:val="946"/>
    <w:uiPriority w:val="0"/>
    <w:qFormat/>
  </w:style>
  <w:style w:type="paragraph" w:styleId="946" w:customStyle="1">
    <w:name w:val="UserStyle_1"/>
    <w:basedOn w:val="689"/>
    <w:link w:val="945"/>
    <w:uiPriority w:val="0"/>
    <w:qFormat/>
  </w:style>
  <w:style w:type="character" w:styleId="947" w:customStyle="1">
    <w:name w:val="font91"/>
    <w:basedOn w:val="730"/>
    <w:uiPriority w:val="0"/>
    <w:qFormat/>
    <w:rPr>
      <w:rFonts w:ascii="Times New Roman" w:hAnsi="Times New Roman" w:cs="Times New Roman"/>
      <w:color w:val="000000"/>
      <w:sz w:val="20"/>
      <w:szCs w:val="20"/>
      <w:u w:val="none"/>
    </w:rPr>
  </w:style>
  <w:style w:type="character" w:styleId="948" w:customStyle="1">
    <w:name w:val="font61"/>
    <w:basedOn w:val="730"/>
    <w:uiPriority w:val="0"/>
    <w:qFormat/>
    <w:rPr>
      <w:rFonts w:hint="eastAsia" w:ascii="宋体" w:hAnsi="宋体" w:eastAsia="宋体" w:cs="宋体"/>
      <w:color w:val="000000"/>
      <w:sz w:val="20"/>
      <w:szCs w:val="20"/>
      <w:u w:val="none"/>
    </w:rPr>
  </w:style>
  <w:style w:type="character" w:styleId="949" w:customStyle="1">
    <w:name w:val="font31"/>
    <w:basedOn w:val="730"/>
    <w:uiPriority w:val="0"/>
    <w:qFormat/>
    <w:rPr>
      <w:rFonts w:hint="eastAsia" w:ascii="宋体" w:hAnsi="宋体" w:eastAsia="宋体" w:cs="宋体"/>
      <w:color w:val="000000"/>
      <w:sz w:val="20"/>
      <w:szCs w:val="20"/>
      <w:u w:val="none"/>
    </w:rPr>
  </w:style>
  <w:style w:type="character" w:styleId="950" w:customStyle="1">
    <w:name w:val="font21"/>
    <w:basedOn w:val="730"/>
    <w:uiPriority w:val="0"/>
    <w:qFormat/>
    <w:rPr>
      <w:rFonts w:hint="eastAsia" w:ascii="宋体" w:hAnsi="宋体" w:eastAsia="宋体" w:cs="宋体"/>
      <w:color w:val="000000"/>
      <w:sz w:val="20"/>
      <w:szCs w:val="20"/>
      <w:u w:val="none"/>
    </w:rPr>
  </w:style>
  <w:style w:type="character" w:styleId="951" w:customStyle="1">
    <w:name w:val="font101"/>
    <w:basedOn w:val="730"/>
    <w:uiPriority w:val="0"/>
    <w:qFormat/>
    <w:rPr>
      <w:rFonts w:ascii="Times New Roman" w:hAnsi="Times New Roman" w:cs="Times New Roman"/>
      <w:color w:val="000000"/>
      <w:sz w:val="20"/>
      <w:szCs w:val="20"/>
      <w:u w:val="none"/>
    </w:rPr>
  </w:style>
  <w:style w:type="character" w:styleId="952" w:customStyle="1">
    <w:name w:val="font81"/>
    <w:basedOn w:val="730"/>
    <w:uiPriority w:val="0"/>
    <w:qFormat/>
    <w:rPr>
      <w:rFonts w:hint="eastAsia" w:ascii="宋体" w:hAnsi="宋体" w:eastAsia="宋体" w:cs="宋体"/>
      <w:color w:val="000000"/>
      <w:sz w:val="20"/>
      <w:szCs w:val="20"/>
      <w:u w:val="none"/>
    </w:rPr>
  </w:style>
  <w:style w:type="character" w:styleId="953" w:customStyle="1">
    <w:name w:val="font71"/>
    <w:basedOn w:val="730"/>
    <w:uiPriority w:val="0"/>
    <w:qFormat/>
    <w:rPr>
      <w:rFonts w:ascii="Times New Roman" w:hAnsi="Times New Roman" w:cs="Times New Roman"/>
      <w:color w:val="000000"/>
      <w:sz w:val="20"/>
      <w:szCs w:val="20"/>
      <w:u w:val="none"/>
    </w:rPr>
  </w:style>
  <w:style w:type="character" w:styleId="954" w:customStyle="1">
    <w:name w:val="font51"/>
    <w:basedOn w:val="730"/>
    <w:uiPriority w:val="0"/>
    <w:qFormat/>
    <w:rPr>
      <w:rFonts w:hint="eastAsia" w:ascii="宋体" w:hAnsi="宋体" w:eastAsia="宋体" w:cs="宋体"/>
      <w:color w:val="000000"/>
      <w:sz w:val="20"/>
      <w:szCs w:val="20"/>
      <w:u w:val="none"/>
    </w:rPr>
  </w:style>
  <w:style w:type="character" w:styleId="955" w:customStyle="1">
    <w:name w:val="font111"/>
    <w:basedOn w:val="730"/>
    <w:uiPriority w:val="0"/>
    <w:qFormat/>
    <w:rPr>
      <w:rFonts w:ascii="Times New Roman" w:hAnsi="Times New Roman" w:cs="Times New Roman"/>
      <w:color w:val="000000"/>
      <w:sz w:val="20"/>
      <w:szCs w:val="20"/>
      <w:u w:val="none"/>
      <w:vertAlign w:val="superscript"/>
    </w:rPr>
  </w:style>
  <w:style w:type="character" w:styleId="956" w:customStyle="1">
    <w:name w:val="font122"/>
    <w:basedOn w:val="730"/>
    <w:uiPriority w:val="0"/>
    <w:qFormat/>
    <w:rPr>
      <w:rFonts w:ascii="Times New Roman" w:hAnsi="Times New Roman" w:cs="Times New Roman"/>
      <w:color w:val="000000"/>
      <w:sz w:val="20"/>
      <w:szCs w:val="20"/>
      <w:u w:val="none"/>
    </w:rPr>
  </w:style>
  <w:style w:type="character" w:styleId="957" w:customStyle="1">
    <w:name w:val="font131"/>
    <w:basedOn w:val="730"/>
    <w:uiPriority w:val="0"/>
    <w:qFormat/>
    <w:rPr>
      <w:rFonts w:ascii="仿宋_GB2312" w:eastAsia="仿宋_GB2312" w:cs="仿宋_GB2312"/>
      <w:color w:val="000000"/>
      <w:sz w:val="20"/>
      <w:szCs w:val="20"/>
      <w:u w:val="none"/>
    </w:rPr>
  </w:style>
  <w:style w:type="character" w:styleId="958" w:customStyle="1">
    <w:name w:val="font11"/>
    <w:basedOn w:val="730"/>
    <w:uiPriority w:val="0"/>
    <w:qFormat/>
    <w:rPr>
      <w:rFonts w:hint="eastAsia" w:ascii="宋体" w:hAnsi="宋体" w:eastAsia="宋体" w:cs="宋体"/>
      <w:color w:val="000000"/>
      <w:sz w:val="20"/>
      <w:szCs w:val="20"/>
      <w:u w:val="none"/>
    </w:rPr>
  </w:style>
  <w:style w:type="character" w:styleId="959" w:customStyle="1">
    <w:name w:val="font41"/>
    <w:basedOn w:val="730"/>
    <w:uiPriority w:val="0"/>
    <w:qFormat/>
    <w:rPr>
      <w:rFonts w:hint="eastAsia" w:ascii="宋体" w:hAnsi="宋体" w:eastAsia="宋体" w:cs="宋体"/>
      <w:color w:val="000000"/>
      <w:sz w:val="20"/>
      <w:szCs w:val="20"/>
      <w:u w:val="none"/>
      <w:vertAlign w:val="superscript"/>
    </w:rPr>
  </w:style>
  <w:style w:type="character" w:styleId="960" w:customStyle="1">
    <w:name w:val="font112"/>
    <w:basedOn w:val="730"/>
    <w:uiPriority w:val="0"/>
    <w:qFormat/>
    <w:rPr>
      <w:rFonts w:ascii="Times New Roman" w:hAnsi="Times New Roman" w:cs="Times New Roman"/>
      <w:color w:val="000000"/>
      <w:sz w:val="20"/>
      <w:szCs w:val="20"/>
      <w:u w:val="none"/>
    </w:rPr>
  </w:style>
  <w:style w:type="character" w:styleId="961" w:customStyle="1">
    <w:name w:val="font121"/>
    <w:basedOn w:val="730"/>
    <w:uiPriority w:val="0"/>
    <w:qFormat/>
    <w:rPr>
      <w:rFonts w:ascii="仿宋_GB2312" w:eastAsia="仿宋_GB2312" w:cs="仿宋_GB2312"/>
      <w:color w:val="000000"/>
      <w:sz w:val="20"/>
      <w:szCs w:val="20"/>
      <w:u w:val="none"/>
    </w:rPr>
  </w:style>
  <w:style w:type="character" w:styleId="962" w:customStyle="1">
    <w:name w:val="font141"/>
    <w:basedOn w:val="730"/>
    <w:uiPriority w:val="0"/>
    <w:qFormat/>
    <w:rPr>
      <w:rFonts w:ascii="Times New Roman" w:hAnsi="Times New Roman" w:cs="Times New Roman"/>
      <w:color w:val="000000"/>
      <w:sz w:val="20"/>
      <w:szCs w:val="20"/>
      <w:u w:val="none"/>
    </w:rPr>
  </w:style>
  <w:style w:type="paragraph" w:styleId="963" w:customStyle="1">
    <w:name w:val="Normal_0_1_0"/>
    <w:uiPriority w:val="0"/>
    <w:qFormat/>
    <w:pPr>
      <w:jc w:val="both"/>
      <w:widowControl w:val="off"/>
    </w:pPr>
    <w:rPr>
      <w:rFonts w:ascii="Calibri" w:hAnsi="Calibri" w:eastAsia="宋体" w:cs="Times New Roman"/>
      <w:lang w:val="en-US" w:eastAsia="zh-CN" w:bidi="ar-SA"/>
    </w:rPr>
  </w:style>
  <w:style w:type="paragraph" w:styleId="964" w:customStyle="1">
    <w:name w:val="纯文本11"/>
    <w:basedOn w:val="689"/>
    <w:uiPriority w:val="0"/>
    <w:qFormat/>
    <w:rPr>
      <w:rFonts w:ascii="宋体" w:hAnsi="Courier New"/>
      <w:szCs w:val="20"/>
    </w:rPr>
  </w:style>
  <w:style w:type="character" w:styleId="965" w:customStyle="1">
    <w:name w:val="标题 1 Char Char"/>
    <w:uiPriority w:val="0"/>
    <w:qFormat/>
    <w:rPr>
      <w:rFonts w:eastAsia="宋体"/>
      <w:b/>
      <w:bCs/>
      <w:sz w:val="30"/>
      <w:szCs w:val="44"/>
      <w:lang w:val="en-US" w:eastAsia="zh-CN" w:bidi="ar-SA"/>
    </w:rPr>
  </w:style>
  <w:style w:type="paragraph" w:styleId="966" w:customStyle="1">
    <w:name w:val="正文1"/>
    <w:basedOn w:val="689"/>
    <w:uiPriority w:val="0"/>
    <w:qFormat/>
    <w:pPr>
      <w:ind w:firstLine="490"/>
      <w:spacing w:line="360" w:lineRule="auto"/>
    </w:pPr>
    <w:rPr>
      <w:rFonts w:ascii="宋体" w:hAnsi="宋体"/>
      <w:sz w:val="24"/>
      <w:szCs w:val="28"/>
    </w:rPr>
  </w:style>
  <w:style w:type="paragraph" w:styleId="967" w:customStyle="1">
    <w:name w:val="索引 411"/>
    <w:basedOn w:val="689"/>
    <w:next w:val="689"/>
    <w:uiPriority w:val="99"/>
    <w:qFormat/>
    <w:pPr>
      <w:ind w:left="600"/>
    </w:pPr>
    <w:rPr>
      <w:szCs w:val="24"/>
    </w:rPr>
  </w:style>
  <w:style w:type="paragraph" w:styleId="968" w:customStyle="1">
    <w:name w:val="正文首行缩进11"/>
    <w:basedOn w:val="969"/>
    <w:next w:val="689"/>
    <w:uiPriority w:val="99"/>
    <w:unhideWhenUsed/>
    <w:qFormat/>
    <w:pPr>
      <w:ind w:firstLine="420"/>
    </w:pPr>
    <w:rPr>
      <w:szCs w:val="24"/>
    </w:rPr>
  </w:style>
  <w:style w:type="paragraph" w:styleId="969" w:customStyle="1">
    <w:name w:val="正文文本111"/>
    <w:basedOn w:val="689"/>
    <w:next w:val="689"/>
    <w:uiPriority w:val="0"/>
    <w:qFormat/>
    <w:rPr>
      <w:rFonts w:eastAsia="楷体_GB2312"/>
      <w:b/>
      <w:bCs/>
      <w:color w:val="ff0000"/>
      <w:sz w:val="32"/>
      <w:szCs w:val="32"/>
      <w:lang w:val="zh-CN"/>
    </w:rPr>
  </w:style>
  <w:style w:type="character" w:styleId="970" w:customStyle="1">
    <w:name w:val="批注框文本 Char1"/>
    <w:basedOn w:val="699"/>
    <w:link w:val="710"/>
    <w:uiPriority w:val="99"/>
    <w:semiHidden/>
    <w:qFormat/>
    <w:rPr>
      <w:rFonts w:ascii="Calibri" w:hAnsi="Calibri" w:cs="Arial"/>
      <w:sz w:val="18"/>
      <w:szCs w:val="18"/>
    </w:rPr>
  </w:style>
  <w:style w:type="character" w:styleId="971" w:customStyle="1">
    <w:name w:val="批注文字 Char1"/>
    <w:basedOn w:val="699"/>
    <w:link w:val="703"/>
    <w:uiPriority w:val="99"/>
    <w:semiHidden/>
    <w:qFormat/>
    <w:rPr>
      <w:rFonts w:ascii="Calibri" w:hAnsi="Calibri" w:cs="Arial"/>
      <w:sz w:val="21"/>
      <w:szCs w:val="22"/>
    </w:rPr>
  </w:style>
  <w:style w:type="character" w:styleId="972" w:customStyle="1">
    <w:name w:val="批注主题 Char1"/>
    <w:basedOn w:val="971"/>
    <w:link w:val="723"/>
    <w:uiPriority w:val="99"/>
    <w:semiHidden/>
    <w:qFormat/>
    <w:rPr>
      <w:b/>
      <w:bCs/>
    </w:rPr>
  </w:style>
  <w:style w:type="paragraph" w:styleId="973" w:customStyle="1">
    <w:name w:val="表格正文"/>
    <w:basedOn w:val="689"/>
    <w:uiPriority w:val="0"/>
    <w:qFormat/>
    <w:rPr>
      <w:sz w:val="21"/>
    </w:rPr>
  </w:style>
  <w:style w:type="paragraph" w:styleId="974" w:customStyle="1">
    <w:name w:val="正文首行缩进2字符"/>
    <w:basedOn w:val="689"/>
    <w:uiPriority w:val="0"/>
    <w:qFormat/>
    <w:pPr>
      <w:ind w:firstLine="482"/>
      <w:spacing w:before="120" w:after="120" w:line="360" w:lineRule="auto"/>
    </w:pPr>
    <w:rPr>
      <w:iCs/>
    </w:rPr>
  </w:style>
  <w:style w:type="paragraph" w:styleId="975" w:customStyle="1">
    <w:name w:val="表格标题"/>
    <w:basedOn w:val="689"/>
    <w:uiPriority w:val="0"/>
    <w:qFormat/>
    <w:pPr>
      <w:jc w:val="center"/>
    </w:pPr>
    <w:rPr>
      <w:b/>
      <w:sz w:val="21"/>
    </w:rPr>
  </w:style>
  <w:style w:type="paragraph" w:styleId="976" w:customStyle="1">
    <w:name w:val="Table Paragraph"/>
    <w:basedOn w:val="689"/>
    <w:uiPriority w:val="1"/>
    <w:qFormat/>
    <w:pPr>
      <w:jc w:val="both"/>
    </w:pPr>
    <w:rPr>
      <w:rFonts w:cstheme="minorBidi"/>
      <w:sz w:val="21"/>
      <w:szCs w:val="21"/>
    </w:rPr>
  </w:style>
  <w:style w:type="numbering" w:styleId="97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591C2D10-9540-494A-A77F-4DF4F3616D1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dc:creator>
  <dc:description>2024年3</dc:description>
  <cp:lastModifiedBy>中瀛国际工程管理有限公司连云港</cp:lastModifiedBy>
  <cp:revision>18</cp:revision>
  <dcterms:created xsi:type="dcterms:W3CDTF">2025-01-07T07:12:00Z</dcterms:created>
  <dcterms:modified xsi:type="dcterms:W3CDTF">2026-07-17T07:05:32Z</dcterms:modified>
  <cp:category>“苏采云”公开</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eyJoZGlkIjoiMjA1N2VmYzhjZjRjZWQ0MThmMDdkN2U4OTlkM2FmMGUiLCJ1c2VySWQiOiIyNDA3MTYxMDEifQ==</vt:lpwstr>
  </property>
  <property fmtid="{D5CDD505-2E9C-101B-9397-08002B2CF9AE}" pid="3" name="KSOProductBuildVer">
    <vt:lpwstr>2052-12.1.0.26895</vt:lpwstr>
  </property>
  <property fmtid="{D5CDD505-2E9C-101B-9397-08002B2CF9AE}" pid="4" name="ICV">
    <vt:lpwstr>585F546B8FA64716B3BFB313052A4339_13</vt:lpwstr>
  </property>
</Properties>
</file>